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 Grozījumi Kredītiestāžu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Kredītiestāžu likumā (Latvijas Republikas Saeimas un Ministru Kabineta Ziņotājs, 1995, 23. nr.; 1996, 9., 14., 23. nr.; 1997, 23. nr.; 1998, 13. nr.; 2000, 13. nr.; 2002, 10., 23. nr.; 2003, 14. nr.; 2004, 2., 12., 23. nr.; 2005, 13., 14. nr.; 2006, 15. nr.; 2007, 7., 12. nr.; 2008, 14., 23. nr.; 2009, 6., 7., 17., 22. nr.; Latvijas Vēstnesis, 2010, 23., 51./52., 160. nr.; 2011, 4. nr.; 2012, 50., 56., 92. nr.; 2013, 61., 106., 193. nr.; 2014, 92. nr.; 2015, 29., 97., 124., 140., 248., 251. nr.; 2016, 117., 241. nr.; 2017, 152., 222. nr.; 2018, 45., 225. nr.; 2019, 52., 129., 259.A nr.; 2020, 123., 138. nr.; 2021, 22., 84.B, 110., 121.B, 193., 200. nr.; 2022, 94., 204. nr.; 2023, 118. nr.; 2024, 38., 110., 120.A, 128.A, 193.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1. panta pirmo daļu ar 73. punktu 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“73) </w:t>
      </w:r>
      <w:r w:rsidR="00000000" w:rsidRPr="00000000" w:rsidDel="00000000">
        <w:rPr>
          <w:b w:val="1"/>
          <w:rtl w:val="0"/>
        </w:rPr>
        <w:t xml:space="preserve">specializētā kredītiestāde</w:t>
      </w:r>
      <w:r w:rsidR="00000000" w:rsidRPr="00000000" w:rsidDel="00000000">
        <w:rPr>
          <w:rtl w:val="0"/>
        </w:rPr>
        <w:t xml:space="preserve"> — kredītiestāde, kura sniedz šā likuma 1. panta pirmās daļas 4. punktā  minētos finanšu pakalpojumus, izņemot uzticības operācijas (trastus) un kriptoaktīvu pakalpojumus, un atbilst vismaz vienam no šādiem kritērijiem: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ierobežots klientu loks, kas noteikts pēc teritoriālā principa vai nodarbinātības principa vai interešu kopības principa Krājaizdevu sabiedrību likuma izpratnē;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finanšu pakalpojumu sniegšana tikai digitālā formā;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biznesa modelis paredz inovatīvu pakalpojumu sniegšanu, kas Latvijas mērogā ir jauns vai būtiski uzlabots finanšu pakalpojums.”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21. panta pirmo daļu ar otro teikumu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“Specializētās kredītiestādes sākotnējais kapitāls nedrīkst būt mazāks par vienu miljonu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.”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vispārējā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25-TA-337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25-TA-337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