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oktobrī (prot. Nr. 41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 6. un 13.</w:t>
      </w:r>
      <w:r w:rsidR="00000000" w:rsidRPr="00000000" w:rsidDel="00000000">
        <w:rPr>
          <w:rStyle w:val="paragraph"/>
          <w:i w:val="1"/>
          <w:rtl w:val="0"/>
        </w:rPr>
        <w:t xml:space="preserve"> </w:t>
      </w:r>
      <w:r w:rsidR="00000000" w:rsidRPr="00000000" w:rsidDel="00000000">
        <w:rPr>
          <w:rStyle w:val="paragraph"/>
          <w:i w:val="1"/>
          <w:rtl w:val="0"/>
        </w:rPr>
        <w:t xml:space="preserve">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(Latvijas Vēstnesis, 2023, 232. nr.; 2025, 40., 78.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pieejamais kopējais attiecināmais finansējums ir 26 814 532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22 792 352 </w:t>
      </w:r>
      <w:r w:rsidR="00000000" w:rsidRPr="00000000" w:rsidDel="00000000">
        <w:rPr>
          <w:i w:val="1"/>
          <w:rtl w:val="0"/>
        </w:rPr>
        <w:t xml:space="preserve">euro </w:t>
      </w:r>
      <w:r w:rsidR="00000000" w:rsidRPr="00000000" w:rsidDel="00000000">
        <w:rPr>
          <w:rtl w:val="0"/>
        </w:rPr>
        <w:t xml:space="preserve">un valsts budžeta līdzfinansējums – 4 022 180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nodrošināt, ka projekta īstenošanas laikā tiek ievēroti interešu konflikta, korupcijas un krāpšanas novēršanas nosacījumi, vismaz paredzot, ka projekta īstenošanā iesaistītais personāls ir informēts par korupcijas un interešu konflikta novēršanas jautājumiem un krāpšanas pazīmēm, pienākumu ziņot par konstatētajām aizdomām, kā arī ir informēts par ziņotāju aizsardzību atbilstoši Trauksmes celšanas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"30.4. piesaistot šo noteikumu 14. punktā minēto atbalstāmo darbību īstenošanai nepieciešamo personālu vai īstenojot publiskos iepirkumus, nodrošina, ka projekta īstenošanas laikā tiek ievēroti interešu konflikta, korupcijas un krāpšanas novēršanas nosacījumi, vismaz paredzot, ka projekta vadībā un īstenošanā iesaistītais personāls ir informēts par korupcijas un interešu konflikta novēršanas jautājumiem un krāpšanas pazīmēm, pienākumu ziņot par konstatētajām aizdomām, kā arī ir informēts par ziņotāju aizsardzību atbilstoši Trauksmes celšanas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30.7.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 nodrošina komunikācijas un vizuālās identitātes prasību nodrošināšanu atbilstoši regulas Nr. 2021/1060 47. un 50. pantam un normatīvajiem aktiem, kas nosaka kārtību, kādā Eiropas Savienības fondu vadībā iesaistītās institūcijas nodrošina šo fondu ieviešanu 2021.–2027. gada plānošanas periodā, tai skaitā savā tīmekļvietnē un sociālajos tīklos ievieto informāciju par projekta īstenošanu un aktualizē to, tiklīdz pieejama jaunāka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30.8.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25-TA-1939</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25-TA-1939</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noteikumu_(grozījumu)_projekts_25-TA-1939.docx</dc:title>
</cp:coreProperties>
</file>

<file path=docProps/custom.xml><?xml version="1.0" encoding="utf-8"?>
<Properties xmlns="http://schemas.openxmlformats.org/officeDocument/2006/custom-properties" xmlns:vt="http://schemas.openxmlformats.org/officeDocument/2006/docPropsVTypes"/>
</file>