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27. februārī (prot. Nr. 8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Pērnavas ielā 51C, Salacgrīvā, Limbažu novadā, 1/3 domājamās daļas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ievērojot Publiskas personas mantas atsavināšanas likuma 14. panta nosacījumus, 1/3 domājamo daļu no nekustamā īpašuma "Pērnavas iela 51C" (nekustamā īpašuma kadastra Nr. 6615 510 0016) – piecām būvēm (būvju kadastra apzīmējumi 6615 010 0113 026, 6615 010 0113 028, 6615 010 0113 030, 6615 010 0113 031 un 6615 010 0113 032) – Salacgrīvā, Limbažu novadā (turpmāk – nekustamais īpašums),  kas ierakstīta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23-TA-3035</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23-TA-3035</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rīkojuma_projekts_23-TA-3035.docx</dc:title>
</cp:coreProperties>
</file>

<file path=docProps/custom.xml><?xml version="1.0" encoding="utf-8"?>
<Properties xmlns="http://schemas.openxmlformats.org/officeDocument/2006/custom-properties" xmlns:vt="http://schemas.openxmlformats.org/officeDocument/2006/docPropsVTypes"/>
</file>