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365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17. jūnijā (prot. Nr. 24 27.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2024. gada 25. jūnija noteikumos Nr. 413 "Eiropas Savienības kohēzijas politikas programmas 2021.–2027. gadam 4.2. prioritārā virziena "Izglītība, prasmes un mūžizglītība" 4.2.4. specifiskā atbalsta mērķa "Veicināt mūžizglītību, jo īpaši piedāvājot elastīgas prasmju pilnveides un pārkvalifikācijas iespējas visiem, ņemot vērā uzņēmējdarbības un digitālās prasmes, labāk prognozējot pārmaiņas un vajadzību pēc jaunām prasmēm, pamatojoties uz darba tirgus vajadzībām, atvieglojot karjeras maiņu un sekmējot profesionālo mobilitāti" 4.2.4.1. pasākuma "Atbalsts nozaru vajadzībās balstītai pieaugušo izglītībai" pirmās kārtas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6. un 13.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2024. gada 25. jūnija noteikumos Nr. 413 "Eiropas Savienības kohēzijas politikas programmas 2021.–2027. gadam 4.2. prioritārā virziena "Izglītība, prasmes un mūžizglītība" 4.2.4. specifiskā atbalsta mērķa "Veicināt mūžizglītību, jo īpaši piedāvājot elastīgas prasmju pilnveides un pārkvalifikācijas iespējas visiem, ņemot vērā uzņēmējdarbības un digitālās prasmes, labāk prognozējot pārmaiņas un vajadzību pēc jaunām prasmēm, pamatojoties uz darba tirgus vajadzībām, atvieglojot karjeras maiņu un sekmējot profesionālo mobilitāti" 4.2.4.1. pasākuma "Atbalsts nozaru vajadzībās balstītai pieaugušo izglītībai" pirmās kārtas īstenošanas noteikumi" (Latvijas Vēstnesis, 2024, 125., 141.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darba devējs – gala labuma guvējs, kam atbalsta piešķiršanas dienā saskaņā ar Valsts ieņēmumu dienesta administrēto nodokļu (nodevu) parādnieku datubāzē pieejamo informāciju nav nodokļu vai nodevu parādu, tai skaitā valsts sociālās apdrošināšanas obligāto iemaksu parādu, kas kopsummā pārsniedz 150</w:t>
      </w:r>
      <w:r w:rsidR="00000000" w:rsidRPr="00000000" w:rsidDel="00000000">
        <w:rPr>
          <w:i w:val="1"/>
          <w:rtl w:val="0"/>
        </w:rPr>
        <w:t xml:space="preserve"> euro</w:t>
      </w:r>
      <w:r w:rsidR="00000000" w:rsidRPr="00000000" w:rsidDel="00000000">
        <w:rPr>
          <w:rtl w:val="0"/>
        </w:rPr>
        <w:t xml:space="preserve">, un kas ir Latvijas Republikas Uzņēmumu reģistrā reģistrēts komersants, kurš atbilst sīkā (mikro), mazā un vidējā komersanta statusam saskaņā ar Eiropas Komisijas 2014. gada 17. jūnija Regulas (ES) Nr. 651/2014, ar ko noteiktas atbalsta kategorijas atzīst par saderīgām ar iekšējo tirgu, piemērojot Līguma 107. un 108. pantu (turpmāk – Komisijas regula Nr. 651/2014), 2. panta 2. punktu vai lielā komersanta statusam saskaņā ar Komisijas regulas Nr. 651/2014 2. panta 24. punktu (tai skaitā tie, kas reģistrēti Latvijas Republikā reģistrēta ārvalstu komersanta filiālē), vai pašnodarbināta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Pasākuma pirmās kārtas ietvaros pieejamais kopējais attiecināmais finansējums ir 12 192 295 </w:t>
      </w:r>
      <w:r w:rsidR="00000000" w:rsidRPr="00000000" w:rsidDel="00000000">
        <w:rPr>
          <w:i w:val="1"/>
          <w:rtl w:val="0"/>
        </w:rPr>
        <w:t xml:space="preserve">euro</w:t>
      </w:r>
      <w:r w:rsidR="00000000" w:rsidRPr="00000000" w:rsidDel="00000000">
        <w:rPr>
          <w:rtl w:val="0"/>
        </w:rPr>
        <w:t xml:space="preserve">, tai skaitā Eiropas sociālā fonda Plus finansējums – 10 363 449 </w:t>
      </w:r>
      <w:r w:rsidR="00000000" w:rsidRPr="00000000" w:rsidDel="00000000">
        <w:rPr>
          <w:i w:val="1"/>
          <w:rtl w:val="0"/>
        </w:rPr>
        <w:t xml:space="preserve">euro</w:t>
      </w:r>
      <w:r w:rsidR="00000000" w:rsidRPr="00000000" w:rsidDel="00000000">
        <w:rPr>
          <w:rtl w:val="0"/>
        </w:rPr>
        <w:t xml:space="preserve"> un valsts budžeta līdzfinansējums – 1 828 846 </w:t>
      </w:r>
      <w:r w:rsidR="00000000" w:rsidRPr="00000000" w:rsidDel="00000000">
        <w:rPr>
          <w:i w:val="1"/>
          <w:rtl w:val="0"/>
        </w:rPr>
        <w:t xml:space="preserve">euro</w:t>
      </w:r>
      <w:r w:rsidR="00000000" w:rsidRPr="00000000" w:rsidDel="00000000">
        <w:rPr>
          <w:rtl w:val="0"/>
        </w:rPr>
        <w:t xml:space="preserve">. Maksimālais Eiropas sociālā fonda Plus finansējuma apmērs nepārsniedz 85 % no projekta kopējā attiecināmā publiskā finansējuma, un nacionālais līdzfinansējums nav mazāks par 15 % no projektam plānotā kopējā attiecināmā publiskā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Vienam projekta iesniegumam pasākuma pirmajā kārtā pieejamais minimālais finansējums ir 500 000 </w:t>
      </w:r>
      <w:r w:rsidR="00000000" w:rsidRPr="00000000" w:rsidDel="00000000">
        <w:rPr>
          <w:i w:val="1"/>
          <w:rtl w:val="0"/>
        </w:rPr>
        <w:t xml:space="preserve">euro </w:t>
      </w:r>
      <w:r w:rsidR="00000000" w:rsidRPr="00000000" w:rsidDel="00000000">
        <w:rPr>
          <w:rtl w:val="0"/>
        </w:rPr>
        <w:t xml:space="preserve">(tai skaitā Eiropas Sociālā fonda Plus finansējums – 425 000 </w:t>
      </w:r>
      <w:r w:rsidR="00000000" w:rsidRPr="00000000" w:rsidDel="00000000">
        <w:rPr>
          <w:i w:val="1"/>
          <w:rtl w:val="0"/>
        </w:rPr>
        <w:t xml:space="preserve">euro</w:t>
      </w:r>
      <w:r w:rsidR="00000000" w:rsidRPr="00000000" w:rsidDel="00000000">
        <w:rPr>
          <w:rtl w:val="0"/>
        </w:rPr>
        <w:t xml:space="preserve"> un valsts budžeta līdzfinansējums – 75 000 </w:t>
      </w:r>
      <w:r w:rsidR="00000000" w:rsidRPr="00000000" w:rsidDel="00000000">
        <w:rPr>
          <w:i w:val="1"/>
          <w:rtl w:val="0"/>
        </w:rPr>
        <w:t xml:space="preserve">euro</w:t>
      </w:r>
      <w:r w:rsidR="00000000" w:rsidRPr="00000000" w:rsidDel="00000000">
        <w:rPr>
          <w:rtl w:val="0"/>
        </w:rPr>
        <w:t xml:space="preserve">), savukārt maksimālais finansējums ir 939 931 </w:t>
      </w:r>
      <w:r w:rsidR="00000000" w:rsidRPr="00000000" w:rsidDel="00000000">
        <w:rPr>
          <w:i w:val="1"/>
          <w:rtl w:val="0"/>
        </w:rPr>
        <w:t xml:space="preserve">euro </w:t>
      </w:r>
      <w:r w:rsidR="00000000" w:rsidRPr="00000000" w:rsidDel="00000000">
        <w:rPr>
          <w:rtl w:val="0"/>
        </w:rPr>
        <w:t xml:space="preserve">(tai skaitā Eiropas Sociālā fonda Plus finansējums – 798 941 </w:t>
      </w:r>
      <w:r w:rsidR="00000000" w:rsidRPr="00000000" w:rsidDel="00000000">
        <w:rPr>
          <w:i w:val="1"/>
          <w:rtl w:val="0"/>
        </w:rPr>
        <w:t xml:space="preserve">euro</w:t>
      </w:r>
      <w:r w:rsidR="00000000" w:rsidRPr="00000000" w:rsidDel="00000000">
        <w:rPr>
          <w:rtl w:val="0"/>
        </w:rPr>
        <w:t xml:space="preserve"> un valsts budžeta līdzfinansējums – 140 990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 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10.1.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 līdz 2029. gada 31. decembrim: nodarbināto personu skaits, tostarp pašnodarbinātas personas, – 1000;".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10.2.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 nacionālais rādītājs līdz 2029. gada 31. decembrim: ar grantiem atbalstīto neunikālo komersantu skaits – 389."</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Atbalsts pasākuma pirmās kārtas ietvaros finansējuma saņēmējam tiek sniegts granta veidā atbilstoši </w:t>
      </w:r>
      <w:r w:rsidR="00000000" w:rsidRPr="00000000" w:rsidDel="00000000">
        <w:rPr>
          <w:i w:val="1"/>
          <w:rtl w:val="0"/>
        </w:rPr>
        <w:t xml:space="preserve">de minimis</w:t>
      </w:r>
      <w:r w:rsidR="00000000" w:rsidRPr="00000000" w:rsidDel="00000000">
        <w:rPr>
          <w:rtl w:val="0"/>
        </w:rPr>
        <w:t xml:space="preserve"> atbalsta nosacījumiem saskaņā ar Komisijas 2023. gada 13. decembra Regulu (ES) 2023/2831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(turpmāk – Komisijas regula 2023/2831), bet darba devējam – nefinanšu atbalsta (atbalsta apmērs pirms atbalsta piešķiršanas finanšu izteiksmē tiek izteikts līdzvērtīgi grantam) vai granta veidā atbilstoši Komisijas regulai 2023/2831."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Projekta iesniegumā rādītājus plāno proporcionāli Eiropas Sociālā fonda Plus un valsts budžeta līdzfinansējumam. Ja projekta iesniegums ir iesniegts par maksimāli pieejamo finansējumu 939 931 </w:t>
      </w:r>
      <w:r w:rsidR="00000000" w:rsidRPr="00000000" w:rsidDel="00000000">
        <w:rPr>
          <w:i w:val="1"/>
          <w:rtl w:val="0"/>
        </w:rPr>
        <w:t xml:space="preserve">euro</w:t>
      </w:r>
      <w:r w:rsidR="00000000" w:rsidRPr="00000000" w:rsidDel="00000000">
        <w:rPr>
          <w:rtl w:val="0"/>
        </w:rPr>
        <w:t xml:space="preserve">, tad sasniedzamais rādītājs – mācībās iesaistīto darbinieku skaits – ir vismaz 92. Ja projekta iesniegums ir iesniegts par minimāli pieejamo finansējumu 500 000 </w:t>
      </w:r>
      <w:r w:rsidR="00000000" w:rsidRPr="00000000" w:rsidDel="00000000">
        <w:rPr>
          <w:i w:val="1"/>
          <w:rtl w:val="0"/>
        </w:rPr>
        <w:t xml:space="preserve">euro</w:t>
      </w:r>
      <w:r w:rsidR="00000000" w:rsidRPr="00000000" w:rsidDel="00000000">
        <w:rPr>
          <w:rtl w:val="0"/>
        </w:rPr>
        <w:t xml:space="preserve">, tad sasniedzamais rādītājs – mācībās iesaistīto darbinieku skaits – ir vismaz 49."</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21.1.1.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"21.1.1. informatīvo pasākumu un to organizēšanas izmaksas, lai motivētu darba devējus attīstīt prasmes. Šajās izmaksās var iekļaut arī kafijas paužu izmaksas, ja plānots, ka informatīvais pasākums ilgs vismaz trīs stundas;".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21.2.9.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"21.2.9. ar mācībām saistīto konsultāciju un ar apmācību organizēšanu saistīto pakalpojumu izmaksas, tai skaitā izmantojamo telpu un iekārtu nomas izmaksas par apmācību laiku."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Finansējuma saņēmējam izmaksas un darbību uzsākšana attiecināma no brīža, kad projekta iesniegums iesniegts vadības informācijas sistēmā. Darba devējam izmaksas ir attiecināmas no brīža, kad darba devējs iesniedzis pieteikumu finansējuma saņēmējam."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33.2.1.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"33.2.1. informācija par darba devēju, kurā nodarbināts mācībās iesaistītais darbinieks (nosaukums, reģistrācijas numurs, darba devēja pārstāvētā nozare saskaņā ar NACE 2.1. red., komersanta statuss, viedās specializācijas stratēģijā noteiktā joma);".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33.4.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"33.4. veikt pasākuma īstenošanai nepieciešamo preču un pakalpojumu iegādi saskaņā ar normatīvajiem aktiem publisko iepirkumu jomā, īstenojot atklātu, pārredzamu, nediskriminējošu un konkurenci neierobežojošu iepirkuma procedūru un vērtējot iespēju veikt sociāli atbildīgu iepirkumu;".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33.6.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"33.6. aktualizēt savā tīmekļvietnē informāciju par projekta īstenošanas gaitu, tiklīdz tā ir pieejama, bet ne retāk kā reizi trijos mēnešos;".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33.12.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"33.12. pārbaudīt un novērst interešu konflikta, korupcijas un krāpšanas risku pirms darba devēja pieteikuma izskatīšanas, kā arī visā darba devēja aktivitāšu īstenošanas laikā nodrošināt pārbaužu dokumentēšanu un apliecinājuma parakstīšanu par interešu konflikta neesību, ja nepieciešams, novēršot identificētos riskus vai konstatēto interešu konfliktu. Apliecinājumu glabā saskaņā ar Eiropas Parlamenta un Padomes 2024. gada 23. septembra Regulas (ES, Euratom) 2024/2509 par finanšu noteikumiem, ko piemēro Savienības vispārējam budžetam (pārstrādāta redakcija) (turpmāk – Komisijas regula 2024/2509), 132.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33.18.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"33.18. parakstīt objektivitātes, konfidencialitātes un interešu konflikta neesības apliecinājumu (3. pielikums). Šis pienākums attiecas uz visiem, kas iesaistās lēmuma pieņemšanas procesā par komercdarbības atbalsta piešķiršanu darba devējam. Apliecinājumu paraksta pirms pieteikuma izskatīšanas. Apliecinājumu glabā atbilstoši Komisijas regulas 2024/2509 132. pantam;".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33.19.1.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"33.19.1. aprakstu, kā tiks veikti pasākumi interešu konflikta riska kontrolei, saskaņā ar Komisijas regulas 2024/2509 61.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33.25.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"33.25. saskaņā ar kārtību, kādā Eiropas Savienības fondu vadībā iesaistītās institūcijas nodrošina šo fondu ieviešanu 2021.–2027. gada plānošanas periodā, pārliecināties, ka uz darba devēju nav attiecināmi Eiropas Savienības fondu 2021.–2027. gada plānošanas perioda vadības likuma 22. pantā noteiktie izslēgšanas nosacījumi, tai skaitā pieprasot Iekšlietu ministrijas Informācijas centram izziņu no Sodu reģistra;".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33.26.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"33.26. ja komersanta darbinieks plāno piedalīties 4.2.4.1. pasākuma otrās kārtas mācībās, iesniegt apliecinājumu, ka pasākuma pirmās kārtas ietvaros tā darbiniekam netiek paredzēts atbalsts tādām mācībām, ko plāno apgūt 4.2.4.1. pasākuma "Atbalsts nozaru vajadzībās balstītai pieaugušo izglītībai" otrās kārtas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41.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Atbalsts šo noteikumu 21.1.2.1. un 21.1.2.3. apakšpunktā minēto ārpakalpojuma izmaksu segšanai nav uzskatāms par komercdarbības atbalstu, ja finansējuma saņēmējs nodrošina projekta vadību, piemērojot šo noteikumu 26.2. un 26.3. apakšpunktā minēto nosacījumu. Ja finansējuma saņēmējs nodrošina projekta vadību, šo izmaksu segšana ir uzskatāma par komercdarbības atbalstu finansējuma saņēmējam."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48.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 Darba devējs un finansējuma saņēmējs, ievērojot Komisijas regulas 2023/2831 5. panta 1., 2. un 3. punktu,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 </w:t>
      </w:r>
      <w:r w:rsidR="00000000" w:rsidRPr="00000000" w:rsidDel="00000000">
        <w:rPr>
          <w:rtl w:val="0"/>
        </w:rPr>
        <w:t xml:space="preserve">atbalstu līdz Komisijas regulas 2023/2831 3. panta 2. punktā noteiktajam attiecīgajam robežlielumam, kā arī drīkst kumulēt ar citu valsts atbalstu, tai skaitā attiecībā uz vienām un tām pašām attiecināmajām izmaksām vai citu valsts atbalstu tam pašam riska finansējuma pasākumam, ja šīs kumulācijas rezultātā netiek pārsniegta attiecīgā maksimālā atbalsta intensitāte vai atbalsta summa, kāda noteikta valsts atbalsta programmā vai Eiropas Komisijas lēmumā. Šo noteikumu ietvaros saņemto </w:t>
      </w:r>
      <w:r w:rsidR="00000000" w:rsidRPr="00000000" w:rsidDel="00000000">
        <w:rPr>
          <w:i w:val="1"/>
          <w:rtl w:val="0"/>
        </w:rPr>
        <w:t xml:space="preserve">de</w:t>
      </w:r>
      <w:r w:rsidR="00000000" w:rsidRPr="00000000" w:rsidDel="00000000">
        <w:rPr>
          <w:rtl w:val="0"/>
        </w:rPr>
        <w:t xml:space="preserve"> </w:t>
      </w:r>
      <w:r w:rsidR="00000000" w:rsidRPr="00000000" w:rsidDel="00000000">
        <w:rPr>
          <w:i w:val="1"/>
          <w:rtl w:val="0"/>
        </w:rPr>
        <w:t xml:space="preserve">minimi</w:t>
      </w:r>
      <w:r w:rsidR="00000000" w:rsidRPr="00000000" w:rsidDel="00000000">
        <w:rPr>
          <w:rtl w:val="0"/>
        </w:rPr>
        <w:t xml:space="preserve">s atbalstu var apvienot ar citu </w:t>
      </w:r>
      <w:r w:rsidR="00000000" w:rsidRPr="00000000" w:rsidDel="00000000">
        <w:rPr>
          <w:i w:val="1"/>
          <w:rtl w:val="0"/>
        </w:rPr>
        <w:t xml:space="preserve">de minimis</w:t>
      </w:r>
      <w:r w:rsidR="00000000" w:rsidRPr="00000000" w:rsidDel="00000000">
        <w:rPr>
          <w:rtl w:val="0"/>
        </w:rPr>
        <w:t xml:space="preserve"> atbalstu par vienām un tām pašām attiecināmajām izmaksām, ja pēc atbalstu apvienošanas atbalsta vienībai vai izmaksu pozīcijai attiecīgā maksimālā atbalsta intensitāte nepārsniedz 100 %. Ja darba devējs plāno atbalsta kumulāciju, par to nepieciešams informēt atbalsta sniedzēju."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54.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 Šo noteikumu 53. punktā minētā attiecīgā atbalsta intensitāte tiek aprēķināta no gala labuma guvēja kopējām pieprasītajām apmācību projekta izmaksām."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58.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 </w:t>
      </w:r>
      <w:r w:rsidR="00000000" w:rsidRPr="00000000" w:rsidDel="00000000">
        <w:rPr>
          <w:i w:val="1"/>
          <w:rtl w:val="0"/>
        </w:rPr>
        <w:t xml:space="preserve">De minimis</w:t>
      </w:r>
      <w:r w:rsidR="00000000" w:rsidRPr="00000000" w:rsidDel="00000000">
        <w:rPr>
          <w:rtl w:val="0"/>
        </w:rPr>
        <w:t xml:space="preserve"> atbalstu saskaņā ar Komisijas regulu Nr. 2023/2831 finansējuma saņēmējam un darba devējam piešķir, ievērojot Komisijas regulas Nr. 2023/2831 1. panta 1. punktā minētos nozaru un darbību ierobežojumus. Ja darba devējs vai finansējuma saņēmējs vienlaikus darbojas vienā vai vairākās Komisijas regulas Nr. 2023/2831 1. panta 1. punkta "a", "b", "c" un "d" apakšpunktā minētajās nozarēs, atbalstu drīkst piešķirt tikai tad, ja darba devējs vai finansējuma saņēmējs nodrošina šo nozaru darbību vai uzskaites nodalīšanu, lai saskaņā ar Komisijas regulas Nr. 2023/2831 1. panta 2. punktu darbības izslēgtajās nozarēs negūst labumu no </w:t>
      </w:r>
      <w:r w:rsidR="00000000" w:rsidRPr="00000000" w:rsidDel="00000000">
        <w:rPr>
          <w:i w:val="1"/>
          <w:rtl w:val="0"/>
        </w:rPr>
        <w:t xml:space="preserve">de minimis</w:t>
      </w:r>
      <w:r w:rsidR="00000000" w:rsidRPr="00000000" w:rsidDel="00000000">
        <w:rPr>
          <w:rtl w:val="0"/>
        </w:rPr>
        <w:t xml:space="preserve"> atbalsta, ko piešķir saskaņā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25-TA-15</w:t>
    </w:r>
    <w:r>
      <w:br/>
    </w:r>
    <w:r w:rsidR="00000000" w:rsidRPr="00000000" w:rsidDel="00000000">
      <w:rPr>
        <w:rtl w:val="0"/>
      </w:rPr>
      <w:t xml:space="preserve">Izdrukāts 29.07.2026. 23.51 - 1.0.VK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25-TA-15</w:t>
    </w:r>
    <w:r>
      <w:br/>
    </w:r>
    <w:r w:rsidR="00000000" w:rsidRPr="00000000" w:rsidDel="00000000">
      <w:rPr>
        <w:rtl w:val="0"/>
      </w:rPr>
      <w:t xml:space="preserve">Izdrukāts 29.07.2026. 23.51 - 1.0.VK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noteikumu_(grozījumu)_projekts_25-TA-15.docx</dc:title>
</cp:coreProperties>
</file>

<file path=docProps/custom.xml><?xml version="1.0" encoding="utf-8"?>
<Properties xmlns="http://schemas.openxmlformats.org/officeDocument/2006/custom-properties" xmlns:vt="http://schemas.openxmlformats.org/officeDocument/2006/docPropsVTypes"/>
</file>