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365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2024. gada 25.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413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Atbalstāmās nozares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Finansējums pasākuma pirmās kārtas ietvaros paredzēts biedrībām, kas pārstāv šādu nozaru komersantus: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Apstrādes rūpniecība (saskaņā ar NACE 2.1. red. C sadaļu) un šādas apstrādes rūpniecības apakšnozares: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kokrūpniecība;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mašīnbūve un metālapstrāde;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elektrisko un optisko iekārtu ražošana;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ķīmiskā rūpniecība;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pārtikas un dzērienu ražošana;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būvindustrija;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vieglā rūpniecība;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papīra ražošana un poligrāfija.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Informācijas un komunikācijas tehnoloģiju nozare (ierobežojumus nosaka saskaņā ar NACE 2.1. red. K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Izmitināšanas un ēdināšanas pakalpojumi (ierobežojumus nosaka saskaņā ar NACE 2.1. red. I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Finanšu un apdrošināšanas darbības (ierobežojumus nosaka saskaņā ar NACE 2.1. red. L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Profesionālie, zinātniskie un tehniskie pakalpojumi (ierobežojumus nosaka saskaņā ar NACE 2.1. red. N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Administratīvo un apkalpojošo dienestu darbība (ierobežojumus nosaka saskaņā ar NACE 2.1. red. O sadaļu).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Energoapgāde un telekomunikācija (ierobežojumus nosaka saskaņā ar NACE 2.1. red. D un K sadaļu)."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