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17.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25.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ietvaros atbalstāmās mācību jomas un programmu kopas saskaņā ar normatīvajiem aktiem par Latvijas izglītības klasifikāciju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kārtā ir atbalstāmas šādas 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214 Dizains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345 20 Projektu vadība</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48 484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48 482 Datoru lietošana</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623 Mežsaimniecība</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722 Veselības aprūpes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811 Viesnīcu un restorānu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840 04 Starptautisko pārvadājumu organizācija</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85 Vides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22 227 Valodu studijas un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345 15 Ēdināšanas un viesnīcu komercdarbība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345 16 Viesnīcu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345 17 Tūrisma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812 Tūrisma un atpūtas organizācija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Šo mācību izmaksas nedrīkst pārsniegt 40 % no kopējām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Tikai lietpratējiem. Šo 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Tikai mācības, kas saistītas ar viedās specializācijas stratēģijas jomu "1.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Tikai mācības, kas saistītas ar viedās specializācijas stratēģijas jomu "2. Biomedicīna, medicīnas tehnoloģijas, biofarmācija un biotehnoloģijas" (medicīnas un veselības tūrisms).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Tikai izmitināšanas un ēdināšanas pakalpojumu nozarē (arī NACE 2.1. red. 55.1, 56.1, 56.2, 74.90, 77.39, 79.11, 79.12, 79.90, 82.30, 90.04, 93.21 un 93.29 sektorā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noteikumu_(grozījumu)_projekts_p2_25-TA-15.docx</dc:title>
</cp:coreProperties>
</file>

<file path=docProps/custom.xml><?xml version="1.0" encoding="utf-8"?>
<Properties xmlns="http://schemas.openxmlformats.org/officeDocument/2006/custom-properties" xmlns:vt="http://schemas.openxmlformats.org/officeDocument/2006/docPropsVTypes"/>
</file>