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(Latvijas Vēstnesis, 2016, 90. nr.; 2018, 18. nr.; 2019, 22. nr.; 2020, 71C., 146. nr.; 2021, 42., 210.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pieejamais attiecināmais finansējums reģionālajiem biznesa inkubatoriem pasākuma īstenošanai ir ne vairāk kā 32 011 457 </w:t>
      </w:r>
      <w:r w:rsidR="00000000" w:rsidRPr="00000000" w:rsidDel="00000000">
        <w:rPr>
          <w:i w:val="1"/>
          <w:rtl w:val="0"/>
        </w:rPr>
        <w:t xml:space="preserve">euro</w:t>
      </w:r>
      <w:r w:rsidR="00000000" w:rsidRPr="00000000" w:rsidDel="00000000">
        <w:rPr>
          <w:rtl w:val="0"/>
        </w:rPr>
        <w:t xml:space="preserve">, ko veido Eiropas Reģionālās attīstības fonda finansējums 27 209 738 </w:t>
      </w:r>
      <w:r w:rsidR="00000000" w:rsidRPr="00000000" w:rsidDel="00000000">
        <w:rPr>
          <w:i w:val="1"/>
          <w:rtl w:val="0"/>
        </w:rPr>
        <w:t xml:space="preserve">euro</w:t>
      </w:r>
      <w:r w:rsidR="00000000" w:rsidRPr="00000000" w:rsidDel="00000000">
        <w:rPr>
          <w:rtl w:val="0"/>
        </w:rPr>
        <w:t xml:space="preserve"> apmērā un valsts budžeta finansējums 4 801 719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"6.1.1.1. atbalstīto komersantu skaits, kas saņem grantus, – 600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"6.1.1.5. specifiskais iznākuma rādītājs – gala labuma guvēju skaits, kuri saņem nefinansiālu atbalstu pirmsinkubācijas veidā, – 2800 gala labuma guvēji;".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21-TA-1326</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21-TA-1326</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noteikumu_(grozījumu)_projekts_21-TA-1326.docx</dc:title>
</cp:coreProperties>
</file>

<file path=docProps/custom.xml><?xml version="1.0" encoding="utf-8"?>
<Properties xmlns="http://schemas.openxmlformats.org/officeDocument/2006/custom-properties" xmlns:vt="http://schemas.openxmlformats.org/officeDocument/2006/docPropsVTypes"/>
</file>