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marta noteikumos Nr. 179 "Uzturlīdzekļu garantiju fonda administrācijas centrālās iestādes funkciju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Uzturlīdzekļu garantiju fonda likuma</w:t>
      </w:r>
      <w:r>
        <w:br/>
      </w:r>
      <w:r w:rsidR="00000000" w:rsidRPr="00000000" w:rsidDel="00000000">
        <w:rPr>
          <w:rStyle w:val="paragraph"/>
          <w:i w:val="1"/>
          <w:rtl w:val="0"/>
        </w:rPr>
        <w:t xml:space="preserve">4. panta otro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28. marta noteikumos Nr. 179 "Uzturlīdzekļu garantiju fonda administrācijas centrālās iestādes funkciju īstenošanas kārtība" (Latvijas Vēstnesis, 2017, 67.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ārvalsts centrālajai iestādei tiek nosūtīts pieteikums par nolēmuma izpildi, pieteikuma izpildes ietvaros no parādnieka atgūtie līdzekļi tiek ieskaitīti fonda administrācijas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pieteikuma iesniedzējam uz nolēmuma pamata izmaksāti uzturlīdzekļi no Uzturlīdzekļu garantiju fonda un ārvalsts centrālajai iestādei nosūtīts fonda administrācijas pieteikums par izmaksāto uzturlīdzekļu un likumisko procentu piedziņu no parādnieka, fonda administrācija no parādnieka atgūtos naudas līdzekļus pārskaita pieteikuma iesniedzējam, ievērojot Civilprocesa likuma 623. panta otrajā un trešajā daļā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No parādnieka atgūtos naudas līdzekļus, kas nododami pieteikuma iesniedzējam, fonda administrācija pārskaita pieteikuma iesniedzējam uz viņa norādīto maksājumu kontu 10 dienu laikā no dienas, kad tie ieskaitīti fonda administrācijas kontā."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25-TA-1193</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25-TA-1193</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noteikumu_(grozījumu)_projekts_25-TA-1193.docx</dc:title>
</cp:coreProperties>
</file>

<file path=docProps/custom.xml><?xml version="1.0" encoding="utf-8"?>
<Properties xmlns="http://schemas.openxmlformats.org/officeDocument/2006/custom-properties" xmlns:vt="http://schemas.openxmlformats.org/officeDocument/2006/docPropsVTypes"/>
</file>