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likumā "Par nodokļiem un nodevām"</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likumā "Par nodokļiem un nodevām" (Latvijas Republikas Saeimas un Ministru Kabineta Ziņotājs, 1995, 7. nr.; 1996, 15. nr.; 1997, 24. nr.; 1998, 2., 18., 22., 24. nr.; 1999, 24. nr.; 2000, 11. nr.; 2001, 3., 8., 12. nr.; 2002, 2., 22. nr.; 2003, 2., 6., 8., 15., 22. nr.; 2004, 9. nr.; 2005, 2., 11. nr.; 2006, 1., 9., 13., 20., 24. nr.; 2007, 3., 7., 12. nr.; 2008, 1., 6., 13. nr.; 2009, 2., 11., 13., 15. nr.; Latvijas Vēstnesis, 2009, 200., 205. nr.; 2010, 91., 101., 131., 151., 157., 178., 183., 206. nr.; 2011, 68., 80., 85., 169. nr.; 2012, 24., 50., 56., 109., 157., 186., 199., 203. nr.; 2013, 61., 92., 187., 194., 232. nr.; 2014, 6., 51., 119., 189., 204., 214., 220., 257. nr.; 2015, 29., 68., 118., 190., 208., 230., 245., 248., 251. nr.; 2016, 2., 91., 241., 254. nr.; 2017, 5., 75., 124., 128., 156., 236., 242. nr.; 2018, 36., 197., 225. nr.; 2019, 10., 75., 118., 214., 240., 259.A nr.; 2020, 46. nr.; 2021, 121.B, 139. nr.; 2022, 69., 120., 194.A, 240.A, 249.A nr.; 2023, 116., 118., 128. nr.) šādus grozījumus: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w:t>
      </w:r>
      <w:r w:rsidR="00000000" w:rsidRPr="00000000" w:rsidDel="00000000">
        <w:rPr>
          <w:rtl w:val="0"/>
        </w:rPr>
        <w:t xml:space="preserve"> </w:t>
      </w:r>
      <w:r w:rsidR="00000000" w:rsidRPr="00000000" w:rsidDel="00000000">
        <w:rPr>
          <w:rtl w:val="0"/>
        </w:rPr>
        <w:t xml:space="preserve">Papildināt 1. pantu ar 25.</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b w:val="1"/>
          <w:rtl w:val="0"/>
        </w:rPr>
        <w:t xml:space="preserve">kopīga uzraudzība</w:t>
      </w:r>
      <w:r w:rsidR="00000000" w:rsidRPr="00000000" w:rsidDel="00000000">
        <w:rPr>
          <w:rtl w:val="0"/>
        </w:rPr>
        <w:t xml:space="preserve"> – nodokļu administrēšanas darbības, kuras nodokļu administrācija veic kopīgi ar vienu vai vairākām Eiropas Savienības dalībvalstu kompetentajām iestādēm un kas saistītas ar vienu vai vairākām personām, attiecībā uz kurām nodokļu administrācijai un Eiropas Savienības dalībvalstu kompetentajām iestādēm ir kopīgas vai papildinošas intereses;".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w:t>
      </w:r>
      <w:r w:rsidR="00000000" w:rsidRPr="00000000" w:rsidDel="00000000">
        <w:rPr>
          <w:rtl w:val="0"/>
        </w:rPr>
        <w:t xml:space="preserve"> </w:t>
      </w:r>
      <w:r w:rsidR="00000000" w:rsidRPr="00000000" w:rsidDel="00000000">
        <w:rPr>
          <w:rtl w:val="0"/>
        </w:rPr>
        <w:t xml:space="preserve">18.</w:t>
      </w:r>
      <w:r w:rsidR="00000000" w:rsidRPr="00000000" w:rsidDel="00000000">
        <w:rPr>
          <w:vertAlign w:val="superscript"/>
          <w:rtl w:val="0"/>
        </w:rPr>
        <w:t xml:space="preserve">1</w:t>
      </w:r>
      <w:r w:rsidR="00000000" w:rsidRPr="00000000" w:rsidDel="00000000">
        <w:rPr>
          <w:rtl w:val="0"/>
        </w:rPr>
        <w:t xml:space="preserve">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pirmās daļas 4. punktu pēc vārdiem "starpvalstu pārbaudes" ar vārdiem "un kopīgu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pirmo daļu ar 7. un 8. punktu šādā redakcijā:</w:t>
      </w:r>
    </w:p>
    <w:p w:rsidP="00000000" w:rsidRDefault="00000000" w:rsidR="00000000" w:rsidRPr="00000000" w:rsidDel="00000000">
      <w:pPr>
        <w:numPr>
          <w:ilvl w:val="0"/>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 iecelt pārstāvi, kas ir atbildīgs par kopīgas uzraudzības vadīšanu un koordināciju Latvijas Republikā;</w:t>
      </w:r>
    </w:p>
    <w:p w:rsidP="00000000" w:rsidRDefault="00000000" w:rsidR="00000000" w:rsidRPr="00000000" w:rsidDel="00000000">
      <w:pPr>
        <w:numPr>
          <w:ilvl w:val="0"/>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 nodrošināt, ka citu Eiropas Savienības dalībvalstu kompetentajām amatpersonām, kuras piedalās kopīgajā uzraudzībā, ir atļauts iztaujāt fiziskās personas un izskatīt oficiālus dokumentus kopā ar nodokļu administrācijas ierēdņiem (darbiniekiem) atbilstoši Latvijas Republikā noteiktajai kārtībai.";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piekto daļu pēc vārda "devītā" ar skaitļiem "9.</w:t>
      </w:r>
      <w:r w:rsidR="00000000" w:rsidRPr="00000000" w:rsidDel="00000000">
        <w:rPr>
          <w:vertAlign w:val="superscript"/>
          <w:rtl w:val="0"/>
        </w:rPr>
        <w:t xml:space="preserve">1</w:t>
      </w:r>
      <w:r w:rsidR="00000000" w:rsidRPr="00000000" w:rsidDel="00000000">
        <w:rPr>
          <w:rtl w:val="0"/>
        </w:rPr>
        <w:t xml:space="preserve">, 9.</w:t>
      </w:r>
      <w:r w:rsidR="00000000" w:rsidRPr="00000000" w:rsidDel="00000000">
        <w:rPr>
          <w:vertAlign w:val="superscript"/>
          <w:rtl w:val="0"/>
        </w:rPr>
        <w:t xml:space="preserve">2</w:t>
      </w:r>
      <w:r w:rsidR="00000000" w:rsidRPr="00000000" w:rsidDel="00000000">
        <w:rPr>
          <w:rtl w:val="0"/>
        </w:rPr>
        <w:t xml:space="preserve">, 9.</w:t>
      </w:r>
      <w:r w:rsidR="00000000" w:rsidRPr="00000000" w:rsidDel="00000000">
        <w:rPr>
          <w:vertAlign w:val="superscript"/>
          <w:rtl w:val="0"/>
        </w:rPr>
        <w:t xml:space="preserve">3</w:t>
      </w:r>
      <w:r w:rsidR="00000000" w:rsidRPr="00000000" w:rsidDel="00000000">
        <w:rPr>
          <w:rtl w:val="0"/>
        </w:rPr>
        <w:t xml:space="preserve">, 9.</w:t>
      </w:r>
      <w:r w:rsidR="00000000" w:rsidRPr="00000000" w:rsidDel="00000000">
        <w:rPr>
          <w:vertAlign w:val="superscript"/>
          <w:rtl w:val="0"/>
        </w:rPr>
        <w:t xml:space="preserve">4</w:t>
      </w:r>
      <w:r w:rsidR="00000000" w:rsidRPr="00000000" w:rsidDel="00000000">
        <w:rPr>
          <w:rtl w:val="0"/>
        </w:rPr>
        <w:t xml:space="preserve">, 9.</w:t>
      </w:r>
      <w:r w:rsidR="00000000" w:rsidRPr="00000000" w:rsidDel="00000000">
        <w:rPr>
          <w:vertAlign w:val="superscript"/>
          <w:rtl w:val="0"/>
        </w:rPr>
        <w:t xml:space="preserve">5</w:t>
      </w:r>
      <w:r w:rsidR="00000000" w:rsidRPr="00000000" w:rsidDel="00000000">
        <w:rPr>
          <w:rtl w:val="0"/>
        </w:rPr>
        <w:t xml:space="preserve">, 9.</w:t>
      </w:r>
      <w:r w:rsidR="00000000" w:rsidRPr="00000000" w:rsidDel="00000000">
        <w:rPr>
          <w:vertAlign w:val="superscript"/>
          <w:rtl w:val="0"/>
        </w:rPr>
        <w:t xml:space="preserve">6</w:t>
      </w:r>
      <w:r w:rsidR="00000000" w:rsidRPr="00000000" w:rsidDel="00000000">
        <w:rPr>
          <w:rtl w:val="0"/>
        </w:rPr>
        <w:t xml:space="preserve">, 9.</w:t>
      </w:r>
      <w:r w:rsidR="00000000" w:rsidRPr="00000000" w:rsidDel="00000000">
        <w:rPr>
          <w:vertAlign w:val="superscript"/>
          <w:rtl w:val="0"/>
        </w:rPr>
        <w:t xml:space="preserve">7</w:t>
      </w:r>
      <w:r w:rsidR="00000000" w:rsidRPr="00000000" w:rsidDel="00000000">
        <w:rPr>
          <w:rtl w:val="0"/>
        </w:rPr>
        <w:t xml:space="preserve">, 9.</w:t>
      </w:r>
      <w:r w:rsidR="00000000" w:rsidRPr="00000000" w:rsidDel="00000000">
        <w:rPr>
          <w:vertAlign w:val="superscript"/>
          <w:rtl w:val="0"/>
        </w:rPr>
        <w:t xml:space="preserve">8</w:t>
      </w:r>
      <w:r w:rsidR="00000000" w:rsidRPr="00000000" w:rsidDel="00000000">
        <w:rPr>
          <w:rtl w:val="0"/>
        </w:rPr>
        <w:t xml:space="preserve">, 9.</w:t>
      </w:r>
      <w:r w:rsidR="00000000" w:rsidRPr="00000000" w:rsidDel="00000000">
        <w:rPr>
          <w:vertAlign w:val="superscript"/>
          <w:rtl w:val="0"/>
        </w:rPr>
        <w:t xml:space="preserve">9</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9.</w:t>
      </w:r>
      <w:r w:rsidR="00000000" w:rsidRPr="00000000" w:rsidDel="00000000">
        <w:rPr>
          <w:vertAlign w:val="superscript"/>
          <w:rtl w:val="0"/>
        </w:rPr>
        <w:t xml:space="preserve">1</w:t>
      </w:r>
      <w:r w:rsidR="00000000" w:rsidRPr="00000000" w:rsidDel="00000000">
        <w:rPr>
          <w:rtl w:val="0"/>
        </w:rPr>
        <w:t xml:space="preserve">, 9.</w:t>
      </w:r>
      <w:r w:rsidR="00000000" w:rsidRPr="00000000" w:rsidDel="00000000">
        <w:rPr>
          <w:vertAlign w:val="superscript"/>
          <w:rtl w:val="0"/>
        </w:rPr>
        <w:t xml:space="preserve">2</w:t>
      </w:r>
      <w:r w:rsidR="00000000" w:rsidRPr="00000000" w:rsidDel="00000000">
        <w:rPr>
          <w:rtl w:val="0"/>
        </w:rPr>
        <w:t xml:space="preserve">, 9.</w:t>
      </w:r>
      <w:r w:rsidR="00000000" w:rsidRPr="00000000" w:rsidDel="00000000">
        <w:rPr>
          <w:vertAlign w:val="superscript"/>
          <w:rtl w:val="0"/>
        </w:rPr>
        <w:t xml:space="preserve">3</w:t>
      </w:r>
      <w:r w:rsidR="00000000" w:rsidRPr="00000000" w:rsidDel="00000000">
        <w:rPr>
          <w:rtl w:val="0"/>
        </w:rPr>
        <w:t xml:space="preserve">, 9.</w:t>
      </w:r>
      <w:r w:rsidR="00000000" w:rsidRPr="00000000" w:rsidDel="00000000">
        <w:rPr>
          <w:vertAlign w:val="superscript"/>
          <w:rtl w:val="0"/>
        </w:rPr>
        <w:t xml:space="preserve">4</w:t>
      </w:r>
      <w:r w:rsidR="00000000" w:rsidRPr="00000000" w:rsidDel="00000000">
        <w:rPr>
          <w:rtl w:val="0"/>
        </w:rPr>
        <w:t xml:space="preserve">, 9.</w:t>
      </w:r>
      <w:r w:rsidR="00000000" w:rsidRPr="00000000" w:rsidDel="00000000">
        <w:rPr>
          <w:vertAlign w:val="superscript"/>
          <w:rtl w:val="0"/>
        </w:rPr>
        <w:t xml:space="preserve">5</w:t>
      </w:r>
      <w:r w:rsidR="00000000" w:rsidRPr="00000000" w:rsidDel="00000000">
        <w:rPr>
          <w:rtl w:val="0"/>
        </w:rPr>
        <w:t xml:space="preserve">, 9.</w:t>
      </w:r>
      <w:r w:rsidR="00000000" w:rsidRPr="00000000" w:rsidDel="00000000">
        <w:rPr>
          <w:vertAlign w:val="superscript"/>
          <w:rtl w:val="0"/>
        </w:rPr>
        <w:t xml:space="preserve">6</w:t>
      </w:r>
      <w:r w:rsidR="00000000" w:rsidRPr="00000000" w:rsidDel="00000000">
        <w:rPr>
          <w:rtl w:val="0"/>
        </w:rPr>
        <w:t xml:space="preserve">, 9.</w:t>
      </w:r>
      <w:r w:rsidR="00000000" w:rsidRPr="00000000" w:rsidDel="00000000">
        <w:rPr>
          <w:vertAlign w:val="superscript"/>
          <w:rtl w:val="0"/>
        </w:rPr>
        <w:t xml:space="preserve">7</w:t>
      </w:r>
      <w:r w:rsidR="00000000" w:rsidRPr="00000000" w:rsidDel="00000000">
        <w:rPr>
          <w:rtl w:val="0"/>
        </w:rPr>
        <w:t xml:space="preserve">, 9.</w:t>
      </w:r>
      <w:r w:rsidR="00000000" w:rsidRPr="00000000" w:rsidDel="00000000">
        <w:rPr>
          <w:vertAlign w:val="superscript"/>
          <w:rtl w:val="0"/>
        </w:rPr>
        <w:t xml:space="preserve">8</w:t>
      </w:r>
      <w:r w:rsidR="00000000" w:rsidRPr="00000000" w:rsidDel="00000000">
        <w:rPr>
          <w:rtl w:val="0"/>
        </w:rPr>
        <w:t xml:space="preserve"> un 9.</w:t>
      </w:r>
      <w:r w:rsidR="00000000" w:rsidRPr="00000000" w:rsidDel="00000000">
        <w:rPr>
          <w:vertAlign w:val="superscript"/>
          <w:rtl w:val="0"/>
        </w:rPr>
        <w:t xml:space="preserve">9</w:t>
      </w:r>
      <w:r w:rsidR="00000000" w:rsidRPr="00000000" w:rsidDel="00000000">
        <w:rPr>
          <w:rtl w:val="0"/>
        </w:rPr>
        <w:t xml:space="preserve"> daļu šādā redakcijā:</w:t>
      </w:r>
    </w:p>
    <w:p w:rsidP="00000000" w:rsidRDefault="00000000" w:rsidR="00000000" w:rsidRPr="00000000" w:rsidDel="00000000">
      <w:pPr>
        <w:numPr>
          <w:ilvl w:val="0"/>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1</w:t>
      </w:r>
      <w:r w:rsidR="00000000" w:rsidRPr="00000000" w:rsidDel="00000000">
        <w:rPr>
          <w:rtl w:val="0"/>
        </w:rPr>
        <w:t xml:space="preserve">) Nodokļu administrācija 60 dienu laikā no citas Eiropas Savienības dalībvalsts kompetentās iestādes pieprasījuma saņemšanas dienas apstiprina savu piekrišanu veikt kopīgu uzraudzību vai sniedz motivētu atteikumu.</w:t>
      </w:r>
    </w:p>
    <w:p w:rsidP="00000000" w:rsidRDefault="00000000" w:rsidR="00000000" w:rsidRPr="00000000" w:rsidDel="00000000">
      <w:pPr>
        <w:numPr>
          <w:ilvl w:val="0"/>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2</w:t>
      </w:r>
      <w:r w:rsidR="00000000" w:rsidRPr="00000000" w:rsidDel="00000000">
        <w:rPr>
          <w:rtl w:val="0"/>
        </w:rPr>
        <w:t xml:space="preserve">) Nodokļu administrācija vienojas ar citas Eiropas Savienības dalībvalsts kompetento iestādi par kopīgas uzraudzības veikšanas kārtību, tajā skaitā par kopīgās uzraudzības procedūrā lietojamo valodu.</w:t>
      </w:r>
    </w:p>
    <w:p w:rsidP="00000000" w:rsidRDefault="00000000" w:rsidR="00000000" w:rsidRPr="00000000" w:rsidDel="00000000">
      <w:pPr>
        <w:numPr>
          <w:ilvl w:val="0"/>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3</w:t>
      </w:r>
      <w:r w:rsidR="00000000" w:rsidRPr="00000000" w:rsidDel="00000000">
        <w:rPr>
          <w:rtl w:val="0"/>
        </w:rPr>
        <w:t xml:space="preserve">) Ja kopīgās uzraudzības darbības tiek veiktas Latvijas Republikā, tad citu Eiropas Savienības dalībvalstu kompetento iestāžu kompetento amatpersonu tiesības un pienākumi tiek noteikti saskaņā ar Latvijas Republikas normatīvajiem aktiem. Veicot kopīgās uzraudzības darbības citā Eiropas Savienības dalībvalstī, nodokļu administrācijas ierēdņi (darbinieki) nedrīkst pārsniegt pilnvaras, kādas tiem piešķirtas saskaņā ar Latvijas Republikas normatīvajiem aktiem.</w:t>
      </w:r>
    </w:p>
    <w:p w:rsidP="00000000" w:rsidRDefault="00000000" w:rsidR="00000000" w:rsidRPr="00000000" w:rsidDel="00000000">
      <w:pPr>
        <w:numPr>
          <w:ilvl w:val="0"/>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4</w:t>
      </w:r>
      <w:r w:rsidR="00000000" w:rsidRPr="00000000" w:rsidDel="00000000">
        <w:rPr>
          <w:rtl w:val="0"/>
        </w:rPr>
        <w:t xml:space="preserve">) Veicot kopīgās uzraudzības darbības Latvijas Republikas teritorijā, kopīgās uzraudzības ietvaros pārbaudāmajai personai vai personai, kuru skar kopīgā uzraudzība, ir tādas pašas tiesības (tostarp arī attiecībā uz jebkuru apstrīdēšanas un pārsūdzēšanas procesu) un pienākumi, kādi noteikti gadījumos, kad nodokļu administrēšanas darbības veic tikai nodokļu administrācijas ierēdņi (darbinieki).</w:t>
      </w:r>
    </w:p>
    <w:p w:rsidP="00000000" w:rsidRDefault="00000000" w:rsidR="00000000" w:rsidRPr="00000000" w:rsidDel="00000000">
      <w:pPr>
        <w:numPr>
          <w:ilvl w:val="0"/>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5</w:t>
      </w:r>
      <w:r w:rsidR="00000000" w:rsidRPr="00000000" w:rsidDel="00000000">
        <w:rPr>
          <w:rtl w:val="0"/>
        </w:rPr>
        <w:t xml:space="preserve">) Kopīgās uzraudzības laikā nodokļu administrācijas ierēdņu (darbinieku) iegūto pierādījumu un to pieļaujamības izvērtēšana (arī tad, ja darbības tiek veiktas citas Eiropas Savienības dalībvalsts teritorijā) tiek veikta saskaņā ar tādiem pašiem nosacījumiem un kārtību, kāda noteikta gadījumos, kad nodokļu administrēšanas darbības veic tikai nodokļu administrācijas ierēdņi (darbinieki).</w:t>
      </w:r>
    </w:p>
    <w:p w:rsidP="00000000" w:rsidRDefault="00000000" w:rsidR="00000000" w:rsidRPr="00000000" w:rsidDel="00000000">
      <w:pPr>
        <w:numPr>
          <w:ilvl w:val="0"/>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6</w:t>
      </w:r>
      <w:r w:rsidR="00000000" w:rsidRPr="00000000" w:rsidDel="00000000">
        <w:rPr>
          <w:rtl w:val="0"/>
        </w:rPr>
        <w:t xml:space="preserve">) Veicot kopīgu uzraudzību, nodokļu administrācija un Eiropas Savienības dalībvalsts kompetentā iestāde vienojas par faktiem un apstākļiem, kas attiecas uz kopīgās uzraudzības ietvaros pārbaudāmo personu un var tikt izmantoti kā pierādījumi, kā arī vienojas par pārbaudāmās personas statusu nodokļu jomā. Šos kopīgās uzraudzības rezultātus, par kuriem panākta vienošanās, iekļauj noslēguma ziņojumā un ņem vērā turpmākajos nodokļu administrēšanas procesos, kuri pēc kopīgās uzraudzības tiek veikti saskaņā ar Latvijas Republikas normatīvajiem aktiem (tostarp ar nodokļu administrācijas lēmumu aprēķinot nodokļu maksājumu apmēru, kā arī ar to saistītajā apstrīdēšanas un pārsūdzības procesā).</w:t>
      </w:r>
    </w:p>
    <w:p w:rsidP="00000000" w:rsidRDefault="00000000" w:rsidR="00000000" w:rsidRPr="00000000" w:rsidDel="00000000">
      <w:pPr>
        <w:numPr>
          <w:ilvl w:val="0"/>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7</w:t>
      </w:r>
      <w:r w:rsidR="00000000" w:rsidRPr="00000000" w:rsidDel="00000000">
        <w:rPr>
          <w:rtl w:val="0"/>
        </w:rPr>
        <w:t xml:space="preserve">) Nodokļu administrācija un Eiropas Savienības dalībvalsts kompetentā iestāde var vienoties, ka noslēguma ziņojumā tiek iekļauti arī tādi fakti un apstākļi, par kuriem tās iepriekš nav vienojušās.</w:t>
      </w:r>
    </w:p>
    <w:p w:rsidP="00000000" w:rsidRDefault="00000000" w:rsidR="00000000" w:rsidRPr="00000000" w:rsidDel="00000000">
      <w:pPr>
        <w:numPr>
          <w:ilvl w:val="0"/>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8</w:t>
      </w:r>
      <w:r w:rsidR="00000000" w:rsidRPr="00000000" w:rsidDel="00000000">
        <w:rPr>
          <w:rtl w:val="0"/>
        </w:rPr>
        <w:t xml:space="preserve">) Nodokļu administrācija 60 dienu laikā pēc noslēguma ziņojuma izdošanas nosūta tā kopiju kopīgās uzraudzības ietvaros pārbaudāmajai personai, to informējot par kopīgās uzraudzības rezultātiem.</w:t>
      </w:r>
    </w:p>
    <w:p w:rsidP="00000000" w:rsidRDefault="00000000" w:rsidR="00000000" w:rsidRPr="00000000" w:rsidDel="00000000">
      <w:pPr>
        <w:numPr>
          <w:ilvl w:val="0"/>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9</w:t>
      </w:r>
      <w:r w:rsidR="00000000" w:rsidRPr="00000000" w:rsidDel="00000000">
        <w:rPr>
          <w:rtl w:val="0"/>
        </w:rPr>
        <w:t xml:space="preserve">) Nodokļu administrācijai ir tiesības iesniegt citas Eiropas Savienības dalībvalsts kompetentajai iestādei pieprasījumu veikt kopīgu uzraudzību saskaņā ar šā panta nosacījumiem, kas attiecināmi uz kopīgu uzraudzību."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w:t>
      </w:r>
      <w:r w:rsidR="00000000" w:rsidRPr="00000000" w:rsidDel="00000000">
        <w:rPr>
          <w:rtl w:val="0"/>
        </w:rPr>
        <w:t xml:space="preserve"> </w:t>
      </w:r>
      <w:r w:rsidR="00000000" w:rsidRPr="00000000" w:rsidDel="00000000">
        <w:rPr>
          <w:rtl w:val="0"/>
        </w:rPr>
        <w:t xml:space="preserve">23.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3.</w:t>
      </w:r>
      <w:r w:rsidR="00000000" w:rsidRPr="00000000" w:rsidDel="00000000">
        <w:rPr>
          <w:vertAlign w:val="superscript"/>
          <w:rtl w:val="0"/>
        </w:rPr>
        <w:t xml:space="preserve">1</w:t>
      </w:r>
      <w:r w:rsidR="00000000" w:rsidRPr="00000000" w:rsidDel="00000000">
        <w:rPr>
          <w:rtl w:val="0"/>
        </w:rPr>
        <w:t xml:space="preserve"> daļu ar 6. punktu šādā redakcijā:</w:t>
      </w:r>
    </w:p>
    <w:p w:rsidP="00000000" w:rsidRDefault="00000000" w:rsidR="00000000" w:rsidRPr="00000000" w:rsidDel="00000000">
      <w:pPr>
        <w:numPr>
          <w:ilvl w:val="0"/>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 no dienas, kad ir uzsākta kopīga uzraudzība, līdz dienai, kad noslēguma ziņojums paziņots personai vai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3.</w:t>
      </w:r>
      <w:r w:rsidR="00000000" w:rsidRPr="00000000" w:rsidDel="00000000">
        <w:rPr>
          <w:vertAlign w:val="superscript"/>
          <w:rtl w:val="0"/>
        </w:rPr>
        <w:t xml:space="preserve">2</w:t>
      </w:r>
      <w:r w:rsidR="00000000" w:rsidRPr="00000000" w:rsidDel="00000000">
        <w:rPr>
          <w:rtl w:val="0"/>
        </w:rPr>
        <w:t xml:space="preserve"> daļu pēc vārdiem "pārbaudes veikšanu" ar vārdiem "kā arī darbības, kuras veiktas kopīgās uzraudzības ietvaros".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Likums stājas spēkā 2024. gada 1. janvārī.</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Finanšu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Ašeradens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23-TA-454</w:t>
    </w:r>
    <w:r>
      <w:br/>
    </w:r>
    <w:r w:rsidR="00000000" w:rsidRPr="00000000" w:rsidDel="00000000">
      <w:rPr>
        <w:rtl w:val="0"/>
      </w:rPr>
      <w:t xml:space="preserve">Izdrukāts 29.07.2026. 22.05 - 1.0.VK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23-TA-454</w:t>
    </w:r>
    <w:r>
      <w:br/>
    </w:r>
    <w:r w:rsidR="00000000" w:rsidRPr="00000000" w:rsidDel="00000000">
      <w:rPr>
        <w:rtl w:val="0"/>
      </w:rPr>
      <w:t xml:space="preserve">Izdrukāts 29.07.2026. 22.05 - 1.0.VK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abstractNum>
  <w:abstractNum w:abstractNumId="6">
    <w:multiLevelType w:val="hybridMultilevel"/>
    <w:lvl w:ilvl="0">
      <w:start w:val="1"/>
      <w:numFmt w:val="bullet"/>
      <w:lvlRestart w:val="1"/>
      <w:lvlText w:val=""/>
      <w:lvlJc w:val="left"/>
      <w:pPr>
        <w:ind w:left="0" w:firstLine="705"/>
      </w:pPr>
      <w:rPr>
        <w:u w:val="none"/>
      </w:rPr>
    </w:lvl>
  </w:abstractNum>
  <w:abstractNum w:abstractNumId="7">
    <w:multiLevelType w:val="hybridMultilevel"/>
    <w:lvl w:ilvl="0">
      <w:start w:val="1"/>
      <w:numFmt w:val="bullet"/>
      <w:lvlRestart w:val="1"/>
      <w:lvlText w:val=""/>
      <w:lvlJc w:val="left"/>
      <w:pPr>
        <w:ind w:left="0" w:firstLine="705"/>
      </w:pPr>
      <w:rPr>
        <w:u w:val="none"/>
      </w:rPr>
    </w:lvl>
  </w:abstractNum>
  <w:abstractNum w:abstractNumId="8">
    <w:multiLevelType w:val="hybridMultilevel"/>
    <w:lvl w:ilvl="0">
      <w:start w:val="1"/>
      <w:numFmt w:val="bullet"/>
      <w:lvlRestart w:val="1"/>
      <w:lvlText w:val=""/>
      <w:lvlJc w:val="left"/>
      <w:pPr>
        <w:ind w:left="0" w:firstLine="705"/>
      </w:pPr>
      <w:rPr>
        <w:u w:val="none"/>
      </w:rPr>
    </w:lvl>
  </w:abstractNum>
  <w:abstractNum w:abstractNumId="9">
    <w:multiLevelType w:val="hybridMultilevel"/>
    <w:lvl w:ilvl="0">
      <w:start w:val="1"/>
      <w:numFmt w:val="bullet"/>
      <w:lvlRestart w:val="1"/>
      <w:lvlText w:val=""/>
      <w:lvlJc w:val="left"/>
      <w:pPr>
        <w:ind w:left="0" w:firstLine="705"/>
      </w:pPr>
      <w:rPr>
        <w:u w:val="none"/>
      </w:rPr>
    </w:lvl>
  </w:abstractNum>
  <w:abstractNum w:abstractNumId="10">
    <w:multiLevelType w:val="hybridMultilevel"/>
    <w:lvl w:ilvl="0">
      <w:start w:val="1"/>
      <w:numFmt w:val="bullet"/>
      <w:lvlRestart w:val="1"/>
      <w:lvlText w:val=""/>
      <w:lvlJc w:val="left"/>
      <w:pPr>
        <w:ind w:left="0" w:firstLine="705"/>
      </w:pPr>
      <w:rPr>
        <w:u w:val="none"/>
      </w:rPr>
    </w:lvl>
  </w:abstractNum>
  <w:abstractNum w:abstractNumId="11">
    <w:multiLevelType w:val="hybridMultilevel"/>
    <w:lvl w:ilvl="0">
      <w:start w:val="1"/>
      <w:numFmt w:val="bullet"/>
      <w:lvlRestart w:val="1"/>
      <w:lvlText w:val=""/>
      <w:lvlJc w:val="left"/>
      <w:pPr>
        <w:ind w:left="0" w:firstLine="705"/>
      </w:pPr>
      <w:rPr>
        <w:u w:val="none"/>
      </w:rPr>
    </w:lvl>
  </w:abstractNum>
  <w:abstractNum w:abstractNumId="12">
    <w:multiLevelType w:val="hybridMultilevel"/>
    <w:lvl w:ilvl="0">
      <w:start w:val="1"/>
      <w:numFmt w:val="bullet"/>
      <w:lvlRestart w:val="1"/>
      <w:lvlText w:val=""/>
      <w:lvlJc w:val="left"/>
      <w:pPr>
        <w:ind w:left="0" w:firstLine="705"/>
      </w:pPr>
      <w:rPr>
        <w:u w:val="none"/>
      </w:rPr>
    </w:lvl>
  </w:abstractNum>
  <w:abstractNum w:abstractNumId="13">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likumprojekts_(grozījumi)_23-TA-454.docx</dc:title>
</cp:coreProperties>
</file>

<file path=docProps/custom.xml><?xml version="1.0" encoding="utf-8"?>
<Properties xmlns="http://schemas.openxmlformats.org/officeDocument/2006/custom-properties" xmlns:vt="http://schemas.openxmlformats.org/officeDocument/2006/docPropsVTypes"/>
</file>