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 6. un 13.</w:t>
      </w:r>
      <w:r w:rsidR="00000000" w:rsidRPr="00000000" w:rsidDel="00000000">
        <w:rPr>
          <w:rStyle w:val="paragraph"/>
          <w:i w:val="1"/>
          <w:rtl w:val="0"/>
        </w:rPr>
        <w:t xml:space="preserve"> </w:t>
      </w:r>
      <w:r w:rsidR="00000000" w:rsidRPr="00000000" w:rsidDel="00000000">
        <w:rPr>
          <w:rStyle w:val="paragraph"/>
          <w:i w:val="1"/>
          <w:rtl w:val="0"/>
        </w:rPr>
        <w:t xml:space="preserve">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pasākumu "Pakalpojumu kvalitātes un pieejamības uzlabošana, tuvinot valsts sociālās aprūpes centru filiāles kopienā sniegtajiem (ģimeniskai videi pietuvinātiem) pakalpojumiem"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paaugstināt pakalpojumu kvalitāti un uzlabot pakalpojumu pieejamību valsts sociālās aprūpes centros, izveidojot ģimeniskai videi pietuvināta pakalpojuma infrastruktūru, tādējādi sekmējot bērnu un jauniešu ar smagiem un ļoti smagiem funkcionāliem traucējumiem neatkarīgas dzīves iespējas un dzīves kvalitātes saglabāšanu vai uzlabošanu.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valsts sociālās aprūpes centros esošie: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bāreņi un bez vecāku gādības palikušie bērni ar smagiem un ļoti smagiem funkcionāliem traucējumiem, kuriem funkcionālo traucējumu smaguma pakāpes dēļ nav iespējams nodrošināt aprūpi ģimenē, pie aizbildņa, audžuģimenē vai specializētajā audžuģimenē;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no 18 gadiem līdz 25 gadiem (ieskaitot) ar smagiem un ļoti smagiem garīga rakstura traucējumiem.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iznākuma rādītājs – izvēlētas un saskaņotas vietas jaunu vai modernizētu sociālās aprūpes iestāžu izveidei – 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izvēlētas un saskaņotas vietas jaunu vai modernizētu sociālās aprūpes iestāžu izveidei – 10;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vai modernizētu sociālās aprūpes iestāžu (izņemot sociālo mājokļu) kapacitāte – 112;</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personu skaits, kuras izmanto jaunu vai modernizētu sociālās aprūpes iestāžu pakalpojumus, – gadā 112.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26 814 532 </w:t>
      </w:r>
      <w:r w:rsidR="00000000" w:rsidRPr="00000000" w:rsidDel="00000000">
        <w:rPr>
          <w:i w:val="1"/>
          <w:rtl w:val="0"/>
        </w:rPr>
        <w:t xml:space="preserve">euro</w:t>
      </w:r>
      <w:r w:rsidR="00000000" w:rsidRPr="00000000" w:rsidDel="00000000">
        <w:rPr>
          <w:rtl w:val="0"/>
        </w:rPr>
        <w:t xml:space="preserve">, tai skaitā Eiropas Reģionālās attīstības fonda finansējums – 22 792 352 </w:t>
      </w:r>
      <w:r w:rsidR="00000000" w:rsidRPr="00000000" w:rsidDel="00000000">
        <w:rPr>
          <w:i w:val="1"/>
          <w:rtl w:val="0"/>
        </w:rPr>
        <w:t xml:space="preserve">euro </w:t>
      </w:r>
      <w:r w:rsidR="00000000" w:rsidRPr="00000000" w:rsidDel="00000000">
        <w:rPr>
          <w:rtl w:val="0"/>
        </w:rPr>
        <w:t xml:space="preserve">un valsts budžeta līdzfinansējums – 4 022 180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07.10.2025. noteikumu Nr. 583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Reģionālās attīstības fonda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no 2021. gada 1. decembra.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valsts sabiedrība ar ierobežotu atbildību "Šampētera nams", kas saskaņā ar Sociālo pakalpojumu un sociālās palīdzības likumu pārvalda Labklājības ministrijas valdījumā esošos valsts nekustamos īpašumus, kuri nepieciešami valsts sociālās aprūpes centru pakalpojumu nodrošināšanai. Projekta iesniedzējs pēc projekta iesnieguma apstiprināšanas ir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sadarbības partneri ir valsts sociālās aprūpes centri (turpmāk – sadarbības partneri).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ar sadarbības partneriem slēdz sadarbības līgumu. Sadarbības līgumā papildus normatīvajos aktos, kas nosaka kārtību, kādā Eiropas Savienības fondu vadībā iesaistītās institūcijas nodrošina šo fondu ieviešanu 2021.–2027. gada plānošanas periodā, noteiktajām prasībām iekļauj vismaz šādu informāciju par sadarbības partneru pienākumiem: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informatīvo un konsultatīvo atbalstu, kas nepieciešams kvalitatīvai projekta mērķa sasniegšanai un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ka 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minētajā informatīvā un konsultatīvā atbalsta sniegšanā piedalās to valsts sociālās aprūpes centru filiāļu speciālisti, kuri ikdienā nodrošina ilgstošas sociālās aprūpes un sociālās rehabilitācijas pakalpojumu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sociālās aprūpes centram, kurš sniegs pakalpojumu izveidotajā infrastruktūrā, – reģistrēt ģimeniskai videi pietuvinātu sociālo pakalpojumu sociālo pakalpojumu sniedzēju reģistrā atbilstoši normatīvajiem aktiem par sociālo pakalpojumu sniedzēju reģistrēšanu;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ka projekta īstenošanas laikā tiek ievēroti interešu konflikta, korupcijas un krāpšanas novēršanas nosacījumi, vismaz paredzot, ka projekta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 MK 07.10.2025. noteikumiem Nr. 583)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izņemot projekta iesniegumu, izstrāde, tai skaitā arī metu konkursa organizēšana;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 pārbūve vai atjaunošana, teritorijas labiekārtošana, būvekspertīze, būvuzraudzība, autoruzraudzība, energosertifikācija un energoaudits;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atsavināšana, tai skaitā nekustamā īpašuma iegāde, atsavināšana sabiedrības vajadzībām un nekustamā īpašuma tirgus cenas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materiāltehniskā nodrošinājuma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pieejamības ekspertu konsultācijas šo noteikumu </w:t>
      </w:r>
      <w:r w:rsidR="00000000" w:rsidRPr="00000000" w:rsidDel="00000000">
        <w:rPr>
          <w:rtl w:val="0"/>
        </w:rPr>
        <w:t xml:space="preserve">14.1.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sabiedrības informēšanas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 ņemot vērā, ka iepirkumu līgumu izmaksas šo noteikumu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14.6.</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minētās atbalstāmās darbības īstenošanai piemēro, ja pakalpojuma sniedzēju piesaista komunikācijas un vizuālās identitātes prasību nodrošināšanai un sabiedrības informēšanai, bet šo noteikumu </w:t>
      </w:r>
      <w:r w:rsidR="00000000" w:rsidRPr="00000000" w:rsidDel="00000000">
        <w:rPr>
          <w:rtl w:val="0"/>
        </w:rPr>
        <w:t xml:space="preserve">14.7.</w:t>
      </w:r>
      <w:r w:rsidR="00000000" w:rsidRPr="00000000" w:rsidDel="00000000">
        <w:rPr>
          <w:rtl w:val="0"/>
        </w:rPr>
        <w:t xml:space="preserve"> apakšpunktā</w:t>
      </w:r>
      <w:r w:rsidR="00000000" w:rsidRPr="00000000" w:rsidDel="00000000">
        <w:rPr>
          <w:rtl w:val="0"/>
        </w:rPr>
        <w:t xml:space="preserve"> minētās atbalstāmās darbības īstenošanai, ja pakalpojuma sniedzēju piesaista projekta vadības un īstenošanas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žūrijas komisijas darbības un atlīdzības un godalgu izmaksas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projekta īstenošanu pamatojošās dokumentācijas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nekustamā īpašuma iegādei un nekustamā īpašuma tirgus cenas novērtēšanai, kā arī izmaksas, kas saistītas ar nekustamā īpašuma iegādi un atsavināšanu;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un darba (dienesta) braucienu izmaksas šo noteikumu </w:t>
      </w:r>
      <w:r w:rsidR="00000000" w:rsidRPr="00000000" w:rsidDel="00000000">
        <w:rPr>
          <w:rtl w:val="0"/>
        </w:rPr>
        <w:t xml:space="preserve">14.7.</w:t>
      </w:r>
      <w:r w:rsidR="00000000" w:rsidRPr="00000000" w:rsidDel="00000000">
        <w:rPr>
          <w:rtl w:val="0"/>
        </w:rPr>
        <w:t xml:space="preserve"> apakšpunktā</w:t>
      </w:r>
      <w:r w:rsidR="00000000" w:rsidRPr="00000000" w:rsidDel="00000000">
        <w:rPr>
          <w:rtl w:val="0"/>
        </w:rPr>
        <w:t xml:space="preserve"> minētās atbalstāmās darbības īstenošanai, ja projekta vadības un īstenošanas personāls piesaistīts uz darba tiesisko attiecību pamata. Iekšzemes komandējumu un darba (dienesta) braucienu izmaksām piemēro vadošās iestādes metodikas par vienas vienības izmaksu standarta likmes aprēķinu un piemērošanu viena km izmaksām un iekšzemes komandējuma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 MK 22.04.2025. noteikumiem Nr. 243)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25.02.2025. noteikumiem Nr. 113)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minēto izmaksu plānošanā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sagatavošanas, būvuzraudzības, autoruzraudzības, būvprojekta tehniskā projekta vai skiču projekta stadijā būvekspertīzes, energosertifikācijas un energoaudita izmaksas nepārsniedz 10 procentus no projekta plānotajām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žūrijas komisijas darbības un atlīdzības un godalgu izmaksas var paredzēt, ja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projekta īstenošanu pamatojošās dokumentācijas izstrādei organizē metu konkursu;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labiekārtošanai izmaksas plāno tādā apmērā, lai izveidotu teritoriju atpūtas un brīvā laika pavadīšanai, rehabilitācijai un rekreācijai, nodrošinātu vides piekļūstamību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un citiem teritorijas un būves lietotājiem, paredzētu piekļuvi zemes vienībai, uz kuras tiek veidota ģimeniskai videi pietuvinātā pakalpojuma infrastruktūra, ietverot arī servitūta ceļa nodibināšanu un būvniecību un funkcionāli nepieciešamo inženiertehnisko apgādi arī ārpus ministrijas valdījumā esošās zemes vienības, kā arī lai atbilstoši normatīvajiem aktiem būvniecības jomā nodrošinātu būves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16.2.3.</w:t>
      </w:r>
      <w:r w:rsidR="00000000" w:rsidRPr="00000000" w:rsidDel="00000000">
        <w:rPr>
          <w:rtl w:val="0"/>
        </w:rPr>
        <w:t xml:space="preserve"> apakšpunktā</w:t>
      </w:r>
      <w:r w:rsidR="00000000" w:rsidRPr="00000000" w:rsidDel="00000000">
        <w:rPr>
          <w:rtl w:val="0"/>
        </w:rPr>
        <w:t xml:space="preserve"> minētās izmaksas nepārsniedz 10 procentus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īstenošanas un vadības personālam jaunu darba vietu radīšanai vai gadījumā, ja esošas darba vietas aprīkojums ir nolietojies un tiek norakstīts, ne vairāk kā 3 000 </w:t>
      </w:r>
      <w:r w:rsidR="00000000" w:rsidRPr="00000000" w:rsidDel="00000000">
        <w:rPr>
          <w:i w:val="1"/>
          <w:rtl w:val="0"/>
        </w:rPr>
        <w:t xml:space="preserve">euro</w:t>
      </w:r>
      <w:r w:rsidR="00000000" w:rsidRPr="00000000" w:rsidDel="00000000">
        <w:rPr>
          <w:rtl w:val="0"/>
        </w:rPr>
        <w:t xml:space="preserve"> apmērā vienai darba vietai projekta īstenošanas laikā. Ja personāls ir nodarbināts normālu darba laiku, darba vietas aprīkojuma iegādes vai nomas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14.7.</w:t>
      </w:r>
      <w:r w:rsidR="00000000" w:rsidRPr="00000000" w:rsidDel="00000000">
        <w:rPr>
          <w:rtl w:val="0"/>
        </w:rPr>
        <w:t xml:space="preserve"> apakšpunktā</w:t>
      </w:r>
      <w:r w:rsidR="00000000" w:rsidRPr="00000000" w:rsidDel="00000000">
        <w:rPr>
          <w:rtl w:val="0"/>
        </w:rPr>
        <w:t xml:space="preserve"> minētās atbalstāmās darbības īstenošanai var paredzēt transporta pakalpojumu izmaksas (transportlīdzekļa noma, transporta pakalpojumu pirkšana, maksa par degvielu).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piemērojot netiešo izmaksu vienoto likmi 15 procentu apmērā no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minētajām tiešajām personāla izmaksām, kas radušās uz darba tiesisko attiecību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minētās neparedzētās izmaksas finansējuma saņēmējs var plānot kā vienu izmaksu pozīciju, kas nepārsniedz piecus procentus no 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minētajām kopējām projekta tiešajām attiecināmajām izmaksām, un tās var izmantot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minēto izmaksu segšanai. Neparedzēto izmaksu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w:t>
      </w:r>
      <w:r w:rsidR="00000000" w:rsidRPr="00000000" w:rsidDel="00000000">
        <w:rPr>
          <w:rtl w:val="0"/>
        </w:rPr>
        <w:t xml:space="preserve">2021/1060</w:t>
      </w:r>
      <w:r w:rsidR="00000000" w:rsidRPr="00000000" w:rsidDel="00000000">
        <w:rPr>
          <w:rtl w:val="0"/>
        </w:rPr>
        <w:t xml:space="preserve"> 64. panta 1. punkta "c" apakšpunktā ietvertajiem nosacījumiem, ja vien tas nav atgūstams saskaņā ar normatīvajiem aktiem nodokļu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izmaksu veikšanai sadarbības iestāde finansējuma saņēmējam veic avansa un starpposma maksājumus atbilstoši normatīvajiem aktiem, kas nosaka valsts budžeta līdzekļu plānošanas kārtību Eiropas Savienības fondu projektu īstenošanai un maksājumu veikšanai 2021.–2027. gada plānošanas periodā, nodrošinot avansa un starpposma maksājumu kopsummu 100 procentu apmērā no projekta apstiprinātā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atbilst iespējai to izlietot deviņu mēnešu laikā saimnieciskā gada ietvaros. Finansējuma saņēmējam avansu sadarbības iestāde var piešķirt līdz 30 procentiem no projekta apstiprinātā kopējā attiecināmā finansējuma, ievērojot, ka avansu var izmaksāt vairākos maksājumos.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īstenošanu pārvalda un ģimeniskai videi pietuvināta pakalpojuma infrastruktūras izveidei izvēlētās vietas saskaņo Labklājības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jomas normatīvajos aktos noteiktās dokumentācijas izstrādi;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energoefektivitātes novērtēšanu, ja tā ir priekšnosacījums būvniecības jomas normatīvajos aktos noteiktās dokumentācijas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īstenošanai nepieciešamās pamatojošās dokumentācijas izstrādi, ja tā ir nepieciešama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atbalstāmās darbības ietvaros finansējuma saņēmējs, tai skaitā īstenojot iepirkumu līgumus,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infrastruktūras izveidi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personām atbilstoši būvniecības jomā noteiktajiem normatīvajiem aktiem, ietverot šo noteikumu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teritorijas labiekārtošanu, vides piekļūstamību, piekļuvi zemes vienībai, uz kuras tiek veidota ģimeniskai videi pietuvinātā pakalpojuma infrastruktūra, un funkcionāli nepieciešamo inženiertehnisko apgādi;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būvniecības jomas normatīvajos aktos noteiktajām prasībām – vides pieejamības ekspertu konsultācijas un specifiskas darbības vides un informācijas pieejamības nodrošināšanai personām 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un pārvietošanās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garīga rakstura traucējumiem.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minētā nekustamā īpašuma atsavināšanu,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balstās uz saimnieciskuma principu, kā arī pamato nekustamā īpašuma iegādes nepieciešamību un saikni ar projekta mērķi;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 izdevumus tāda nekustamā īpašuma iegādei, kas nav citam atsavināts, ieķīlāts, iznomāts vai nodots lietojumā, kas netiek izmantots kā komersanta juridiskā adrese un tajā nav deklarēta fiziskas vai juridiskas personas adrese, tas nav apgrūtināts ar parādiem vai saistībām un tam nav uzlikts aizliegums vai arests, kā arī par nekustamo īpašumu ir samaksāti visi tam piemērojamie nodokļi, kas bija jāsamaksā līdz darījuma noslēgšanai;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attiecīgi Publiskas personas mantas atsavināšanas likumā vai Sabiedrības vajadzībām nepieciešamā nekustamā īpašuma atsavināšanas likumā noteikto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nodrošina telpu aprīkošanai un ģimeniskai videi pietuvināta pakalpojuma sniegšanai nepieciešamā materiāltehniskā aprīkojuma iegādi, kā arī datoru, datorprogrammatūras, tehnisko palīglīdzekļu un citu nepieciešamo ierīču un materiālu iegādi.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14.5.</w:t>
      </w:r>
      <w:r w:rsidR="00000000" w:rsidRPr="00000000" w:rsidDel="00000000">
        <w:rPr>
          <w:rtl w:val="0"/>
        </w:rPr>
        <w:t xml:space="preserve"> apakšpunktā</w:t>
      </w:r>
      <w:r w:rsidR="00000000" w:rsidRPr="00000000" w:rsidDel="00000000">
        <w:rPr>
          <w:rtl w:val="0"/>
        </w:rPr>
        <w:t xml:space="preserve"> atbalstāmās darbības ietvaros finansējuma saņēmējs, tai skaitā īstenojot iepirkumu līgumus, nodrošina konsultāciju sniegšanu atbilstoši būvju vispārīgo prasību būvnormatīvā LBN 200-21 noteiktajām minimālajām vides pieejamības prasībām un Labklājības ministrijas izstrādātajiem labās prakses ieteikumiem vides piekļūstamības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14.6.</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atbalstāmo darbību īsteno finansējuma saņēmējs, ja nepieciešams, sadarbojoties ar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minētajiem sadarbības partneriem un īstenojot iepirkumu līgumus.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25.02.2025. noteikumu Nr. 113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un atbilst projekta darbības specifikai, īstenojot sociāli atbildīgus, inovatīvus un zaļos publiskos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līgumos avansa maksājumu paredz ne vairāk kā 50 procentu apmērā no attiecīgās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 nepieciešamo personālu vai īstenojot publiskos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šo noteikumu </w:t>
      </w:r>
      <w:r w:rsidR="00000000" w:rsidRPr="00000000" w:rsidDel="00000000">
        <w:rPr>
          <w:rtl w:val="0"/>
        </w:rPr>
        <w:t xml:space="preserve">16.2.2.</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žūrijas komisijas dalībnieki pirms metu konkursa pieteikuma izvērtēšanas paraksta apliecinājumu, ka nav saistīti ar labuma guvēju likuma "Par interešu konflikta novēršanu valsts amatpersonu darbībā" izpratnē un Eiropas Parlamenta un Padomes 2024. gada 23. septembra Regulas (ES, Euratom) 2024/2509 par finanšu noteikumiem, ko piemēro Savienības vispārējam budžetam (pārstrādāta redakcija), 61. panta izpratnē;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novērš dubultfinansēšanas riskus un nodrošina, ka projekta ietvaros atbalstāmās darbības un to izmaksas netiek finansētas, kā arī tās nav plānots finansēt no citiem valsts, pašvaldības vai ārvalstu finanšu palīdzības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prasību nodrošināšanu atbilstoši regulas Nr. 2021/1060 47. un 50. pantam un normatīvajiem aktiem, kas nosaka kārtību, kādā Eiropas Savienības fondu vadībā iesaistītās institūcijas nodrošina šo fondu ieviešanu 2021.–2027. gada plānošanas periodā, tai skaitā savā tīmekļvietnē un sociālajos tīklos ievieto informāciju par projekta īstenošanu un aktualizē to, tiklīdz pieejama jaunāka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atbalstāmās darbības īstenošanā nodrošina vismaz vienu sabiedrības informēšanas pasākumu atbilstoši regulas 2021/1060 50. panta 1.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07.10.2025. noteikumiem Nr. 583)</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informācijas un vides piekļūstamību, atšķirīgas attieksmes aizlieguma ievērošanu personas vecuma, dzimuma, reliģiskās, politiskās vai citas pārliecības, seksuālās orientācijas, invaliditātes, rases vai etniskās piederības dēļ un vienlīdzīgu iespēju principu ievērošanu, kā arī nodrošina, ka tiks virzīti pasākumi, kas sekmē darba un ģimenes dzīves saskaņošanu, paredzot attālināta darba laika iespēju un nepilna laika darba iespēju radīšanu vecākiem ar bērniem, kā arī sievietēm un vīriešiem nodrošina vienādu samaksu par vienādas vērtības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ieguldījumu infrastruktūrā atbilstību normatīvajiem aktiem par prasībām sociālo pakalpojumu sniedzējiem;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nekustamais īpašums, uz kura plānots būvēt ēku, kas paredzēta ģimeniskai videi pietuvināta pakalpojuma izveidei, ir Labklājības ministrijas valdījumā vai līdz projekta īstenošanas beigām tiks nostiprināts zemesgrāmatā uz valsts vārda Labklājības ministrijas personā;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ka  projekta īstenošanai piešķirtie līdzekļi, kas paredzēti, lai izveidotu piekļuvi šo noteikumu </w:t>
      </w:r>
      <w:r w:rsidR="00000000" w:rsidRPr="00000000" w:rsidDel="00000000">
        <w:rPr>
          <w:rtl w:val="0"/>
        </w:rPr>
        <w:t xml:space="preserve">30.11. apakšpunktā</w:t>
      </w:r>
      <w:r w:rsidR="00000000" w:rsidRPr="00000000" w:rsidDel="00000000">
        <w:rPr>
          <w:rtl w:val="0"/>
        </w:rPr>
        <w:t xml:space="preserve"> minētajam īpašumam, tostarp nodrošinātu servitūta ceļa nodibināšanu un būvniecību un funkcionāli nepieciešamo inženiertehnisko apgādi, tiek ieguldīti saskaņā ar pareizas finanšu pārvaldības principu, ievērojot saimnieciskuma, lietderības un efektivitātes principus;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neplāno fosilo energoresursu tehnoloģiju uzstādīšanu un, ciktāl tas ir attiecināms,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14.4.</w:t>
      </w:r>
      <w:r w:rsidR="00000000" w:rsidRPr="00000000" w:rsidDel="00000000">
        <w:rPr>
          <w:rtl w:val="0"/>
        </w:rPr>
        <w:t xml:space="preserve"> apakšpunktā minēto atbalstāmo darbību īstenošanai tehniskās specifikācijas prasībās iekļauj informāciju, kas pamato, ka paredzētie risinājumi ir videi draudzīgi un energoefektīvi un atbalsta horizontālā principa "Nenodarīt būtisku kaitējumu" (Eiropas Parlamenta un Padomes 2020. gada 18. jūnija Regulas (ES) 2020/852 par regulējuma izveidi ilgtspējīgu ieguldījumu veicināšanai un ar ko groza Regulu (ES) 2019/2088, 17. panta nozīmē) mērķu ievērošanu: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klimata pārmaiņu mazināšanai;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spējai pielāgoties klimata pārmaiņām;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ilgtspējīgai ūdens un jūras resursu izmantošanai un aizsardzībai;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pārejai uz aprites ekonomiku, ieskaitot atkritumu rašanās novēršanu un to reciklēšanu;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piesārņojuma novēršanai un kontrolei;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bioloģiskās daudzveidības un ekosistēmu aizsardzībai un atjaunošanai;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horizontālajiem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ar Eiropas Reģionālās attīstības fonda ieguldījumiem ir nodrošināta vides un informācijas pieejamība;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veikto vides un informācijas piekļūstamības pašnovērtējumu skaits atbilstoši Labklājības ministrijas izstrādātajai metodikai;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atsevišķu grāmatvedības uzskaiti par projekta izdevumiem saskaņā ar grāmatvedību regulējošo normatīvo aktu prasībām un vispārpieņemtiem grāmatvedības kārtošanas principiem, piemēram, izveidojot atbilstošu uzskaites kodu sistēmu par projekta īstenošanai veiktajiem darījumiem.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25.02.2025. noteikumiem Nr. 113; MK 07.10.2025. noteikumiem Nr. 583)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Labklājības ministrija nodrošina projekta rezultātu ilgtspēju vismaz piecus gadus pēc noslēguma maksājuma veikšanas finansējuma saņēmējam, izmantojot projekta ietvaros radīto infrastruktūru ģimeniskai videi pietuvināta pakalpojuma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pasākuma ietvaros izveidojamā ģimeniskai videi pietuvinātā pakalpojuma infrastruktūra projekta īstenošanas laikā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minētajā periodā vai ieguldījumu amortizācijas periodā kļūst par infrastruktūru, kas saistīta ar saimniecisko darbību, kurai sniegtais atbalsts būtu kvalificējams kā komercdarbības atbalsts, finansējuma saņēmējs atmaksā sadarbības iestādei nelikumīgi saņemto atbalstu saskaņā ar Komercdarbības atbalsta kontroles likuma IV vai V nodaļu. Ja paredzēts mainīt ģimeniskai videi pietuvinātā pakalpojuma infrastruktūras izmantošanas nosacījumus ieguldījumu amortizācijas periodā un tā rezultātā projekta darbības būs saistītas ar saimniecisko darbību, kurai sniegtais atbalsts būtu kvalificējams kā komercdarbības atbalsts, Labklājības ministrija iesniedz sadarbības iestādē informāciju par plānotajām izmaiņām.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projektu īsteno saskaņā ar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26-TA-579</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26-TA-579</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noteikumu_konsolidētā_versija_26-TA-579.docx</dc:title>
</cp:coreProperties>
</file>

<file path=docProps/custom.xml><?xml version="1.0" encoding="utf-8"?>
<Properties xmlns="http://schemas.openxmlformats.org/officeDocument/2006/custom-properties" xmlns:vt="http://schemas.openxmlformats.org/officeDocument/2006/docPropsVTypes"/>
</file>