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17. jūlijā (prot. Nr. 38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kas nepārsniedz 147 420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03.01.00 "Augstākās izglītības programmu nodrošināšana", lai, pamatojoties uz Ukrainas civiliedzīvotāju atbalsta likumu, no 2026. gada 1. janvāra līdz 2026. gada 31. decembrim nodrošinātu Ukrainas civiliedzīvotājiem studiju stipendijas.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apropriācijas pārdali, kas nepārsniedz 182 450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01.08.00 "Vispārējās izglītības atbalsta pasākumi", lai, pamatojoties uz Ministru kabineta 2025. gada 22. decembra rīkojumu Nr. 896 "Par Pasākumu plānu atbalsta sniegšanai Ukrainas civiliedzīvotājiem Latvijas Republikā 2026. gadam", līdz 2026. gada 31. decembrim nodrošinātu mērķētu atbalstu Ukrainas civiliedzīvotāju bērniem un jauniešiem izglītības un sociālās integrācijas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apropriācijas pārdali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26-TA-1580</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26-TA-1580</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rīkojuma_projekts_26-TA-1580.docx</dc:title>
</cp:coreProperties>
</file>

<file path=docProps/custom.xml><?xml version="1.0" encoding="utf-8"?>
<Properties xmlns="http://schemas.openxmlformats.org/officeDocument/2006/custom-properties" xmlns:vt="http://schemas.openxmlformats.org/officeDocument/2006/docPropsVTypes"/>
</file>