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 (Latvijas Vēstnesis, 2023, 237. nr.; 2024, 128. nr.; 2025, 74., 209.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 vasaras skolu organizēšanu, īstenojot šo noteikumu 27.1.1. apakšpunktā minētos izpratnes un prakses veidošanas pasākumus bāriņtiesas amatpersonām, bāriņtiesas darbiniekiem un pašvaldību sociālo dienestu sociālajiem darbiniekiem, kuri strādā ar ģimenēm un bērniem."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speciālistu, kuru profesionālā darbība saistīta ar bērnu tiesību un tiesisko interešu aizsardzības nodrošināšanu, bērnu likumisko pārstāvju, audžuģimeņu un sabiedrības izpratnes un informētības paaugstināšanas pasākumi bērnu tiesību aizsardzības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Šo noteikumu 16.2. apakšpunktā minētās atbalstāmās darbības īstenošanā: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finansējuma saņēmēja izvēlēts pakalpojuma sniedzējs izstrādā komunikācijas stratēģiju bērnu tiesību aizsardzības jomā strādājošo, bērnu likumisko pārstāvju, audžuģimeņu un sabiedrības vienotas izpratnes veidošanai un informētības paaugstināšanai bērnu tiesību jautājumos, kas ietver: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27.1.1. izpratnes un prakses veidošanas pasākumus speciālistiem;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27.1.2. informēšanas un izpratnes veidošanas pasākumus bērnu likumisko pārstāvju un audžuģimeņu līdzdalības un atbildības veicināšanai bērnu tiesību aizsardzības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27.1.3. informēšanas un izpratnes veidošanas pasākumus sabiedrībai par bērnu tiesību aizsardzības jomu atbildīgo institūciju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finansējuma saņēmējs un finansējuma saņēmēja izvēlēts pakalpojuma sniedzējs īsteno šo noteikumu 27.1. apakšpunktā minēto komunikācijas stratēģiju."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26-TA-847</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26-TA-847</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noteikumu_(grozījumu)_projekts_26-TA-847.docx</dc:title>
</cp:coreProperties>
</file>

<file path=docProps/custom.xml><?xml version="1.0" encoding="utf-8"?>
<Properties xmlns="http://schemas.openxmlformats.org/officeDocument/2006/custom-properties" xmlns:vt="http://schemas.openxmlformats.org/officeDocument/2006/docPropsVTypes"/>
</file>