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4. aprīļa noteikumos Nr. 166 "Valsts atbalsta piešķiršanas kārtība vaislas lauksaimniecības dzīvnieku ierakstīšanai ciltsgrāmatā un ciltsreģistrā un vietējo apdraudēto šķirņu saglabāšanai""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24-TA-2337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