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664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13. augustā (prot. Nr. 31 65.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divu laukumu noteikšanu Baltijas jūras Rīgas līcī akvakultūras darbībai nepieciešamo iekārtu ierīkošanai un ekspluatācijai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 </w:t>
      </w:r>
      <w:r w:rsidR="00000000" w:rsidRPr="00000000" w:rsidDel="00000000">
        <w:rPr>
          <w:rtl w:val="0"/>
        </w:rPr>
        <w:t xml:space="preserve">Jūras vides aizsardzības un pārvaldības likuma</w:t>
      </w:r>
      <w:r w:rsidR="00000000" w:rsidRPr="00000000" w:rsidDel="00000000">
        <w:rPr>
          <w:shd w:fill="#ffffff" w:val="clear"/>
          <w:rtl w:val="0"/>
        </w:rPr>
        <w:t xml:space="preserve"> </w:t>
      </w:r>
      <w:r w:rsidR="00000000" w:rsidRPr="00000000" w:rsidDel="00000000">
        <w:rPr>
          <w:rtl w:val="0"/>
        </w:rPr>
        <w:t xml:space="preserve">19. panta trešo daļu </w:t>
      </w:r>
      <w:r w:rsidR="00000000" w:rsidRPr="00000000" w:rsidDel="00000000">
        <w:rPr>
          <w:rtl w:val="0"/>
        </w:rPr>
        <w:t xml:space="preserve"> noteikt šā rīkojuma pielikumā minētos divus laukumus Baltijas jūras Rīgas līcī akvakultūras darbībai nepieciešamo iekārtu ierīkošanai un ekspluatācijai (turpmāk – atļaujas laukumi). Tiesības izmantot atļaujas laukumus iegūstamas Ministru kabineta 2014. gada 14. oktobra noteikumos Nr. 631 "</w:t>
      </w:r>
      <w:r w:rsidR="00000000" w:rsidRPr="00000000" w:rsidDel="00000000">
        <w:rPr>
          <w:rtl w:val="0"/>
        </w:rPr>
        <w:t xml:space="preserve">Latvijas Republikas iekšējo jūras ūdeņu, teritoriālās jūras un ekskluzīvās ekonomiskās zonas būvju būvnoteikumi</w:t>
      </w:r>
      <w:r w:rsidR="00000000" w:rsidRPr="00000000" w:rsidDel="00000000">
        <w:rPr>
          <w:rtl w:val="0"/>
        </w:rPr>
        <w:t xml:space="preserve">" noteiktajā kārtībā pēc paredzēto darbību ietekmes uz vidi novērtējuma.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Krauze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23-TA-1867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23-TA-1867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rīkojuma_projekts_23-TA-1867.docx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