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maijā (prot. Nr. 25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pasākumā "Kontrole un noteikumu izpilde"</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administrē un uzrauga valsts un Eiropas Savienības atbalstu no Eiropas Jūrlietu, zvejniecības un akvakultūras fonda saistītajā darbības veidā "Kontrole un noteikumu izpilde" (turpmāk – pasākums)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7. jūlija Regulu (ES) </w:t>
      </w:r>
      <w:r w:rsidR="00000000" w:rsidRPr="00000000" w:rsidDel="00000000">
        <w:rPr>
          <w:rtl w:val="0"/>
        </w:rPr>
        <w:t xml:space="preserve">2021/1139</w:t>
      </w:r>
      <w:r w:rsidR="00000000" w:rsidRPr="00000000" w:rsidDel="00000000">
        <w:rPr>
          <w:rtl w:val="0"/>
        </w:rPr>
        <w:t xml:space="preserve">, ar ko izveido Eiropas Jūrlietu, zvejniecības un akvakultūras fondu un groza Regulu (ES) 2017/1004 (turpmāk – regula </w:t>
      </w:r>
      <w:r w:rsidR="00000000" w:rsidRPr="00000000" w:rsidDel="00000000">
        <w:rPr>
          <w:rtl w:val="0"/>
        </w:rPr>
        <w:t xml:space="preserve">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Regulu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2013. gada 11. decembra Regulu (ES) Nr. </w:t>
      </w:r>
      <w:r w:rsidR="00000000" w:rsidRPr="00000000" w:rsidDel="00000000">
        <w:rPr>
          <w:rtl w:val="0"/>
        </w:rPr>
        <w:t xml:space="preserve">1380/2013</w:t>
      </w:r>
      <w:r w:rsidR="00000000" w:rsidRPr="00000000" w:rsidDel="00000000">
        <w:rPr>
          <w:rtl w:val="0"/>
        </w:rPr>
        <w:t xml:space="preserve"> par kopējo zivsaimniecības politiku un ar ko groza Padomes Regulas (EK) Nr. 1954/2003 un (EK) Nr. 1224/2009 un atceļ Padomes Regulas (EK) Nr. 2371/2002 un (EK) Nr. 639/2004 un Padomes Lēmumu 2004/585/EK (turpmāk – regula Nr. </w:t>
      </w:r>
      <w:r w:rsidR="00000000" w:rsidRPr="00000000" w:rsidDel="00000000">
        <w:rPr>
          <w:rtl w:val="0"/>
        </w:rPr>
        <w:t xml:space="preserve">1380/2013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2009. gada 20. novembra Regulu (EK) Nr. </w:t>
      </w:r>
      <w:r w:rsidR="00000000" w:rsidRPr="00000000" w:rsidDel="00000000">
        <w:rPr>
          <w:rtl w:val="0"/>
        </w:rPr>
        <w:t xml:space="preserve">1224/2009</w:t>
      </w:r>
      <w:r w:rsidR="00000000" w:rsidRPr="00000000" w:rsidDel="00000000">
        <w:rPr>
          <w:rtl w:val="0"/>
        </w:rPr>
        <w:t xml:space="preserve">,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w:t>
      </w:r>
      <w:r w:rsidR="00000000" w:rsidRPr="00000000" w:rsidDel="00000000">
        <w:rPr>
          <w:rtl w:val="0"/>
        </w:rPr>
        <w:t xml:space="preserve">1224/2009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2008. gada 29. septembra Regulu (EK) Nr. </w:t>
      </w:r>
      <w:r w:rsidR="00000000" w:rsidRPr="00000000" w:rsidDel="00000000">
        <w:rPr>
          <w:rtl w:val="0"/>
        </w:rPr>
        <w:t xml:space="preserve">1005/2008</w:t>
      </w:r>
      <w:r w:rsidR="00000000" w:rsidRPr="00000000" w:rsidDel="00000000">
        <w:rPr>
          <w:rtl w:val="0"/>
        </w:rPr>
        <w:t xml:space="preserve">, ar ko izveido Kopienas sistēmu, lai aizkavētu, novērstu un izskaustu nelegālu, nereģistrētu un neregulētu zveju, un ar ko groza Regulas (EEK) Nr. 2847/93, (EK) Nr. 1936/2001 un (EK) Nr. 601/2004, un ar ko atceļ Regulas (EK) Nr. 1093/94 un (EK) Nr. 1447/1999 (turpmāk – regula Nr. </w:t>
      </w:r>
      <w:r w:rsidR="00000000" w:rsidRPr="00000000" w:rsidDel="00000000">
        <w:rPr>
          <w:rtl w:val="0"/>
        </w:rPr>
        <w:t xml:space="preserve">1005/2008</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2022. gada 19. janvāra Īstenošanas regulu (ES) </w:t>
      </w:r>
      <w:r w:rsidR="00000000" w:rsidRPr="00000000" w:rsidDel="00000000">
        <w:rPr>
          <w:rtl w:val="0"/>
        </w:rPr>
        <w:t xml:space="preserve">2022/79</w:t>
      </w:r>
      <w:r w:rsidR="00000000" w:rsidRPr="00000000" w:rsidDel="00000000">
        <w:rPr>
          <w:rtl w:val="0"/>
        </w:rPr>
        <w:t xml:space="preserve">, ar ko nosaka Eiropas Parlamenta un Padomes Regulas (ES) 2021/1139 piemērošanas noteikumus attiecībā uz darbības līmeņa īstenošanas datu reģistrēšanu, nosūtīšanu un izklāstu (turpmāk – regula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atbilstoši regulas </w:t>
      </w:r>
      <w:r w:rsidR="00000000" w:rsidRPr="00000000" w:rsidDel="00000000">
        <w:rPr>
          <w:rtl w:val="0"/>
        </w:rPr>
        <w:t xml:space="preserve">2021/1139</w:t>
      </w:r>
      <w:r w:rsidR="00000000" w:rsidRPr="00000000" w:rsidDel="00000000">
        <w:rPr>
          <w:rtl w:val="0"/>
        </w:rPr>
        <w:t xml:space="preserve"> 14. panta 1. punkta "d" apakšpunktam ir veicināt efektīvu zvejas īstenošanu un kontroli, tostarp nelegālas, nereģistrētas un neregulētas zvejas apkarošanu.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šie noteikumi nenosaka citādi.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(turpmāk –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pārvaldes iestāde, kas normatīvajos aktos noteiktajā kārtībā ir iesaistīta zvejas, zivju izkraušanas, tirdzniecības, transporta, uzglabāšanas vai ražošanas kontrolē vai nelegālas, nereģistrētas un neregulētas zvejas apkarošanā;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informācijas sistēmas "Latvijas Zivsaimniecības integrētā kontroles un informācijas sistēma" turētāja –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Pasākumā tiek atbalstīta Eiropas Savienības zvejas kontroles sistēmas attīstīšana un īstenošana, kā paredzēts regulas Nr. </w:t>
      </w:r>
      <w:r w:rsidR="00000000" w:rsidRPr="00000000" w:rsidDel="00000000">
        <w:rPr>
          <w:rtl w:val="0"/>
        </w:rPr>
        <w:t xml:space="preserve">1380/2013</w:t>
      </w:r>
      <w:r w:rsidR="00000000" w:rsidRPr="00000000" w:rsidDel="00000000">
        <w:rPr>
          <w:rtl w:val="0"/>
        </w:rPr>
        <w:t xml:space="preserve"> </w:t>
      </w:r>
      <w:r w:rsidR="00000000" w:rsidRPr="00000000" w:rsidDel="00000000">
        <w:rPr>
          <w:rtl w:val="0"/>
        </w:rPr>
        <w:t xml:space="preserve">36. pantā</w:t>
      </w:r>
      <w:r w:rsidR="00000000" w:rsidRPr="00000000" w:rsidDel="00000000">
        <w:rPr>
          <w:rtl w:val="0"/>
        </w:rPr>
        <w:t xml:space="preserve"> un sīkāk noteikts regulā Nr. </w:t>
      </w:r>
      <w:r w:rsidR="00000000" w:rsidRPr="00000000" w:rsidDel="00000000">
        <w:rPr>
          <w:rtl w:val="0"/>
        </w:rPr>
        <w:t xml:space="preserve">1224/2009</w:t>
      </w:r>
      <w:r w:rsidR="00000000" w:rsidRPr="00000000" w:rsidDel="00000000">
        <w:rPr>
          <w:rtl w:val="0"/>
        </w:rPr>
        <w:t xml:space="preserve"> un regulā Nr. </w:t>
      </w:r>
      <w:r w:rsidR="00000000" w:rsidRPr="00000000" w:rsidDel="00000000">
        <w:rPr>
          <w:rtl w:val="0"/>
        </w:rPr>
        <w:t xml:space="preserve">1005/2008</w:t>
      </w:r>
      <w:r w:rsidR="00000000" w:rsidRPr="00000000" w:rsidDel="00000000">
        <w:rPr>
          <w:rtl w:val="0"/>
        </w:rPr>
        <w:t xml:space="preserve">, tostarp zvejas kontroles kapacitātes nodrošināšana un stiprināšana, aprīkojuma, apmācību un starpvalstu sadarbības kontroles procesu nodrošināšana, informācijas tehnoloģiju un digitalizācijas attīstīšana, ietverot arī tālāku digitalizētās zvejas produktu izsekojamības sistēmas attīstību zvejas produktu ražošanas, pārstrādes un piegādes posmos un attālās elektroniskās uzraudzības sistēmas (piemēram, videonovērošanas sistēmu (CCTV) un zvejas rīku sensoru) izmantošanu, tostarp piekrastes zvejā, kā arī citas Eiropas Savienības tieši piemērojamos normatīvajos aktos noteiktās darbības, tostarp uzlabojot dzinēju jaudu pārbaudes un to monitoringu.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Pretendents projekta iesniegumā norāda pēc projekta īstenošanas sasniedzamo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 pielikumā</w:t>
      </w:r>
      <w:r w:rsidR="00000000" w:rsidRPr="00000000" w:rsidDel="00000000">
        <w:rPr>
          <w:rtl w:val="0"/>
        </w:rPr>
        <w:t xml:space="preserve"> minēto rezultāta rādītāju "CR 19 – darbības pārvaldības spēju uzlabošanai".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Projekts atbilst šādiem projektu atlases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mērķis atbilst pasākuma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īstenojamā darbība atbilst Latvijas Nacionālajai jūras zvejas kontroles programmai 2021.–2027. gadam.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projektā paredzēta būves ierīkošana, pārbūve, novietošana, atjaunošana vai stacionāru pamatlīdzekļu uzstādīšana, nekustamais īpašums, kurā iecerēts īstenot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pretendenta īpašumā vai nomā, un to apliecina ieraksts zemesgrāmatā vai zemesgrāmatā reģistrēts ilgtermiņa nomas līgums, vai apbūves tiesības vismaz uz septiņiem gadiem no projekta iesnieguma iesniegšanas dienas;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pretendenta valdījumā, ja pretendents projektu īsteno uz valsts vai pašvaldības īpašumā esošas zemes.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Attiecināmās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Publiskā atbalsta apmērs ir 100 procentu no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īstenošanai plāno šādus attiecināmo izmaksu veidus, kas atbilst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kuras ir tieši saistītas ar projekta īstenošanu, nepieciešamas projekta rezultātu sasniegšanai (šai saistībai jābūt skaidri saprotamai un pierādāmai) un kuras ietver: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projekta īstenošanas personāla un projekta vadības personāla atlīdzības izmaksas. Atlīdzība par darbu tiek noteikta samērīgi, ņemot vērā tā apjomu un specifiku un vidējo atalgojumu attiecīgajā institūcijā līdzīgos amatos nodarbinātajiem;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nodrošina atbalstu un atbilstošus apstākļus projekta īstenošanai un tā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w:t>
      </w:r>
      <w:r w:rsidR="00000000" w:rsidRPr="00000000" w:rsidDel="00000000">
        <w:rPr>
          <w:rtl w:val="0"/>
        </w:rPr>
        <w:t xml:space="preserve">"b" apakšpunktu</w:t>
      </w:r>
      <w:r w:rsidR="00000000" w:rsidRPr="00000000" w:rsidDel="00000000">
        <w:rPr>
          <w:rtl w:val="0"/>
        </w:rPr>
        <w:t xml:space="preserve"> no 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kas paredzētas darba līgumā vai ar pakalpojuma sniedzējiem noslēgtajos līgumos.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ietvertas netiešajās izmaksās, nevar attiecināt uz tiešajām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 </w:t>
      </w:r>
      <w:r w:rsidR="00000000" w:rsidRPr="00000000" w:rsidDel="00000000">
        <w:rPr>
          <w:rtl w:val="0"/>
        </w:rPr>
        <w:t xml:space="preserve">apakšpunktā</w:t>
      </w:r>
      <w:r w:rsidR="00000000" w:rsidRPr="00000000" w:rsidDel="00000000">
        <w:rPr>
          <w:rtl w:val="0"/>
        </w:rPr>
        <w:t xml:space="preserve"> minētās izmaksas projekta īstenošanas personālam un projekta vadības personālam, kas pilda vēl citus pienākumus, kuri nav saistīti ar projektu, sedz proporcionāli laikam, kurā tiek pildīti ar projektu saistītie pienākumi. Šādā gadījumā projekta vadības un īstenošanas personāla darba laiku uzskaita sadalījumā pa pildītajām funkcijām, ievērojot nosacījumu, ka izmaksas uzskatāmas par tiešajām attiecināmajām izmaksām, ja darbinieks projektā ir nodarbināts vismaz 50 procentus no normālā darbalaika.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projektā tiek saņemta atlīdzība saskaņā ar darba līgumu, darbalaika uzskaites tabelēs norāda, cik stundu veltīts darbam projektā, atsevišķi norādot noslodzi, un cik stundu veltīts darbam, kas nav saistīts ar projektu. Darbalaiku nosaka saskaņā ar darba tiesiskās attiecības reglamentējošiem normatīvajiem aktiem, un pamatdarbā pildāmie pienākumi nedublējas ar projektā pildāmajiem pienākumiem.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Pasākumā ir noteiktas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tehnoloģiju, tostarp datoru aparatūras, programmatūras, datubāzu un tīmekļvietņu, izstrādi, attīstīšanu, iegādi, uzstādīšanu un ekspluatāciju;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aprīkojuma un citu pamatlīdzekļu iegādi, uzstādīšanu un ekspluatāciju;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pasākumu, tostarp semināru rīkošanas un plašsaziņas līdzekļu izmantošanas,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dalību sanāksmēs, semināros, konferencēs un apmācībās: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organizatora noteiktā reģistrācijas un dalības maksa;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komandējuma (darba brauciena) izmaksas saskaņā ar normatīvajiem aktiem par kārtību, kādā atlīdzināmi ar komandējumiem saistītie izdevumi: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nauda;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viesnīcu, ja pasākums ilgst vairāk par vienu dienu un dalībniekiem nav iespējas tajā pašā dienā atgriezties savā dzīvesvietā;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līdz pasākuma norises vietai un atpakaļ (transporta noma, sabiedriskā transporta izmaksas, maksa par degvielu, ceļa nodoklis);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ceļojumu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būves pārbūves, ierīkošanas, novietošanas un atjaunošanas izmaksas, kā arī būvmateriālu izmaksas, kas saistītas 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pasākuma mērķi.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Publisko finansējumu par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minētajām izmaksām saņem tikai pēc attiecīgās tehnoloģijas, aprīkojuma vai cita pamatlīdzekļa nodošanas lietošanā un apliecinošu dokumentu iesniegšanas Lauku atbalsta dienestā.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Pasākumā ir noteiktas šādas neattiecināmās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slēgšanas izmaksas, kuri mākslīgi un nepamatoti palielina projekta izmaksas un kuros samaksa ir noteikta procentos no kopējām projekta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par kuru nav īstenota atbilstoša iepirkuma procedūra saskaņā ar normatīvajiem aktiem par iepirkuma procedūras piemērošanu;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izmaksas vai darbības, kas nav attiecināmas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13. pantu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kas pēc Lauku atbalsta dienesta novērtējuma pārsniedz vidējās izmaksas, un nepabeigto darbu izmaksas uzskata par neattiecināmajām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uzraudzības periods projekta īstenošanas laikā iegādātajiem pamatlīdzekļiem un īstenotajiem būvniecības darbiem ir pieci gadi. Visā projekta uzraudzības periodā tiek nodrošināta pamatlīdzekļu uzturēšana un lietošana atbilstoši projekta mērķim.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Pieteikšanās atbalsta saņemšanai un finansējuma pieprasīšanas papildu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pieteiktos atbalstam, pretendents saskaņā ar normatīvajiem aktiem par valsts un Eiropas Savienības atbalsta piešķiršanu, administrēšanu un uzraudzību zivsaimniecības attīstībai 2021.–2027. gada plānošanas periodā Lauku atbalsta dienesta elektroniskajā pieteikšanās sistēmā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 šādu informāciju par projektu: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plānotās darbības;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plānoto darbību atbilstību Latvijas Nacionālajai jūras zvejas kontroles programmai 2021.–2027. gadam;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aprakstu un sagaidāmos rezultātus;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riska faktorus un to novēršanas iespējas;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kopējās un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iestādes lēmumu par piedalīšanos projektā un visām saistībām, kas attiecas uz projekta īstenošanu, norādot projekta kopējās izmaksas un finansēšanas avotus;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saskaņojumu ar Vides aizsardzības un reģionālās attīstības ministriju par to, ka projektā īstenojamās darbības atbilst Latvijas Nacionālajai jūras zvejas kontroles programmai 2021.–2027. gadam, –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minētais pretendents;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procedūru apliecinošus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pieteiktos atbalstam, pretendents nodrošina, ka par būves atjaunošanas, ierīkošanas, novietošanas un pārbūves projektu atbilstoši plānotajai būvniecības iecerei un būvju grupai Būvniecības informācijas sistēmā ir pieejama sagatavotā tehniskā dokumentācija saistībā ar būvniecības procesu, un informē par to Lauku atbalsta dienestu.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Pretendējot uz finansējumu būves atjaunošanai, ierīkošanai, novietošanai un pārbūvei, kā arī būvmateriālu iegādei atbilstoši būvniecības iecerei, pretendents, iesniedzot projekta iesniegumu vai sešu mēnešu laikā pēc tam, kad stājies spēkā Lauku atbalsta dienesta lēmums par projekta iesnieguma apstiprināšanu, informē Lauku atbalsta dienestu par Būvniecības informācijas sistēmā uzsāktās būvniecības lietas numuru un sagatavoto tehnisko dokumentāciju par būvniecības procesu. Iepirkuma dokumenti, kas saistīti ar būvniecības izmaksām, ir sagatavoti kopā ar projekta iesniegumu vai sešu mēnešu laikā pēc tam, kad stājies spēkā Lauku atbalsta dienesta lēmums par projekta iesnieguma apstiprināšanu, bet ne vēlāk kā piecu darbdienu laikā pēc iepirkuma procedūras pabeigšanas. Informāciju par papildinātu būvatļauju ar būvvaldes atzīmi par būvdarbu uzsākšanas nosacījumu izpildi pretendents Lauku atbalsta dienestā iesniedz kopā ar projekta iesniegumu vai deviņu mēnešu laikā pēc tam, kad stājies spēkā lēmums par projekta iesnieguma apstiprināšanu.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Pretendents Lauku atbalsta dienestā kopā ar maksājuma pieprasījumu, izņemot par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minētajām netiešajām attiecināmajām izmaksām,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attiecināmos izdevumus apliecinošu maksājumu un darījumu dokumentu kopijas;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pakalpojumu sniedzējiem noslēgto līgumu kopijas. Līgumos norāda sniedzamo pakalpojumu – veicamo uzdevumu, laikposmu un līguma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nodošanas un pieņemšanas akta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darbalaika uzskaites tabulu, ja projektā iekļautas personāla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dalību sanāksmēs, semināros, konferencēs un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tostarp lidmašīnas, biļeti;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viesnīcas (naktsmītnes) rēķinu, ja par attiecīgo darbu izpildi nav noslēgts līgums ar trešajām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īstenotajiem komunikācijas pasākumiem, tostarp semināriem: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dalībnieku sarakstu;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citus dokumentus, kas apliecina projektā īstenotās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iepirkuma procedūru apliecinošus dokumentus.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23-TA-602</w:t>
    </w:r>
    <w:r>
      <w:br/>
    </w:r>
    <w:r w:rsidR="00000000" w:rsidRPr="00000000" w:rsidDel="00000000">
      <w:rPr>
        <w:rtl w:val="0"/>
      </w:rPr>
      <w:t xml:space="preserve">Izdrukāts 29.07.2026. 23.45 - 1.0.VK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23-TA-602</w:t>
    </w:r>
    <w:r>
      <w:br/>
    </w:r>
    <w:r w:rsidR="00000000" w:rsidRPr="00000000" w:rsidDel="00000000">
      <w:rPr>
        <w:rtl w:val="0"/>
      </w:rPr>
      <w:t xml:space="preserve">Izdrukāts 29.07.2026. 23.45 - 1.0.VK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noteikumu_projekts_23-TA-602.docx</dc:title>
</cp:coreProperties>
</file>

<file path=docProps/custom.xml><?xml version="1.0" encoding="utf-8"?>
<Properties xmlns="http://schemas.openxmlformats.org/officeDocument/2006/custom-properties" xmlns:vt="http://schemas.openxmlformats.org/officeDocument/2006/docPropsVTypes"/>
</file>