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azartspēļu nozarē – saskaņā ar NACE 2. red. R sadaļas "Māksla, izklaide un atpūta" 92. nodaļu "Azartspēles un 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 2025. gada 1. janvāra: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tirdzniecības nozarē – saskaņā ar NACE 2.1 red. G sadaļu "Vairumtirdzniecība un mazumtirdzniecība; automobiļu un motociklu remonts";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komercpakalpojumu nozarē – saskaņā ar NACE 2.1 red. M sadaļu "Operācijas ar nekustamo īpašumu" un 77. nodaļu "Iznomāšana un ekspluatācijas līzings";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24-TA-2710</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noteikumu_konsolidētā_versija_p2_24-TA-2710.docx</dc:title>
</cp:coreProperties>
</file>

<file path=docProps/custom.xml><?xml version="1.0" encoding="utf-8"?>
<Properties xmlns="http://schemas.openxmlformats.org/officeDocument/2006/custom-properties" xmlns:vt="http://schemas.openxmlformats.org/officeDocument/2006/docPropsVTypes"/>
</file>