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oktobrī (prot. Nr. 40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Rūpniecības ielā 1V, Daugavpilī,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valstij piederošo nekustamo īpašumu (nekustamā īpašuma kadastra Nr. 0500 020 0212) – zemes vienību (zemes vienības kadastra apzīmējums 0500 020 0212) 0,416 ha platībā un piecas būves (būvju kadastra apzīmējumi 0500 020 0202 002, 0500 020 0202 018, 0500 020 0202 019, 0500 020 0202 020 un 0500 020 0202 021) – Rūpniecības ielā 1V, Daugavpilī,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24-TA-2032</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24-TA-2032</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rīkojuma_projekts_24-TA-2032.docx</dc:title>
</cp:coreProperties>
</file>

<file path=docProps/custom.xml><?xml version="1.0" encoding="utf-8"?>
<Properties xmlns="http://schemas.openxmlformats.org/officeDocument/2006/custom-properties" xmlns:vt="http://schemas.openxmlformats.org/officeDocument/2006/docPropsVTypes"/>
</file>