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Vitamīnu un minerālvielu salīdzināmās vērtības apstrādātu graudaugu pārtikas un bērnu pārtikas uzturvielu marķēšanai</w:t>
      </w:r>
    </w:p>
    <w:tbl>
      <w:tblPr>
        <w:tblStyle w:val="DefaultTable"/>
        <w:bidiVisual w:val="0"/>
        <w:tblW w:w="6748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1"/>
        <w:gridCol w:w="3441"/>
        <w:gridCol w:w="2166"/>
        <w:tblGridChange w:id="0">
          <w:tblGrid>
            <w:gridCol w:w="691"/>
            <w:gridCol w:w="3441"/>
            <w:gridCol w:w="21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Vitamīni un minerālvielas, 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Salīdzināmā vērtība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vitamīns,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Riboflavīns,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Niacīna ekvivalenti,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vitamīns,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Folāts,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 w:rsidR="00000000" w:rsidRPr="00000000" w:rsidDel="00000000">
              <w:rPr>
                <w:vertAlign w:val="subscript"/>
                <w:rtl w:val="0"/>
              </w:rPr>
              <w:t xml:space="preserve">12</w:t>
            </w:r>
            <w:r w:rsidR="00000000" w:rsidRPr="00000000" w:rsidDel="00000000">
              <w:rPr>
                <w:rtl w:val="0"/>
              </w:rPr>
              <w:t xml:space="preserve"> vitamīns,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Jods,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Selēns, µg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Varš, mg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