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25. janvārī (prot. Nr. 4 13.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2006. gada 6. jūnija noteikumos Nr. 467 "Noteikumi par kuģu reģistrāciju Latvijas Kuģu reģistrā"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Jūras kodeksa</w:t>
      </w:r>
      <w:r w:rsidR="00000000" w:rsidRPr="00000000" w:rsidDel="00000000">
        <w:rPr>
          <w:rStyle w:val="paragraph"/>
          <w:i w:val="1"/>
          <w:rtl w:val="0"/>
        </w:rPr>
        <w:t xml:space="preserve"> </w:t>
      </w:r>
      <w:r>
        <w:br/>
      </w:r>
      <w:r w:rsidR="00000000" w:rsidRPr="00000000" w:rsidDel="00000000">
        <w:rPr>
          <w:rStyle w:val="paragraph"/>
          <w:i w:val="1"/>
          <w:rtl w:val="0"/>
        </w:rPr>
        <w:t xml:space="preserve">8.</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septīto daļu, 9.panta piekto daļu,</w:t>
      </w:r>
      <w:r>
        <w:br/>
      </w:r>
      <w:r w:rsidR="00000000" w:rsidRPr="00000000" w:rsidDel="00000000">
        <w:rPr>
          <w:rStyle w:val="paragraph"/>
          <w:i w:val="1"/>
          <w:rtl w:val="0"/>
        </w:rPr>
        <w:t xml:space="preserve">10.panta pirmo daļu, 16.panta piekto daļu</w:t>
      </w:r>
      <w:r>
        <w:br/>
      </w:r>
      <w:r w:rsidR="00000000" w:rsidRPr="00000000" w:rsidDel="00000000">
        <w:rPr>
          <w:rStyle w:val="paragraph"/>
          <w:i w:val="1"/>
          <w:rtl w:val="0"/>
        </w:rPr>
        <w:t xml:space="preserve">un 27.panta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2006. gada 6. jūnija noteikumos Nr. 467 "Noteikumi par kuģu reģistrāciju Latvijas Kuģu reģistrā" (Latvijas Vēstnesis, 2006, 99. nr.; 2008, 171. nr.; 2009, 26., 203. nr.; 2012, 173., 194. nr.; 2013, 151. nr.; 2017, 127.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valsts sabiedrības ar ierobežotu atbildību "Latvijas Jūras administrācija" (turpmāk – Jūras administrācija) Latvijas Kuģu reģistra (turpmāk – Latvijas Kuģu reģistrs) un kuģu lietu vešanas kārtību, prasības elektroniskās datubāzes (turpmāk – kuģu reģistrs) grāmatās ierakstāmajai informācijai, Latvijas Kuģu reģistrā iesniedzamos dokumentus kuģu un kuģu apgrūtinājumu reģistrācijai, pārreģistrācijai, izslēgšanai un dzēšanai, dokumentus, ko izsniedz Latvijas Kuģu reģistrs, kā arī Latvijas Kuģu reģistra izsniegtajos kuģu reģistra izrakstos iekļaujamās informācijas apjomu, kuģa īpašnieka pārstāvja pienākumus, minimālo pilnvaru apjomu un tam izvirzāmās prasības, reģistrācijas kārtību buru jahtām bez īpašuma tiesību reģistrācijas, kā arī nosaka, kādi kuģi uzskatāmi par būvniecības stadijā esošiem kuģiem."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 13.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Lai reģistrētu kopīpašumā esošu kuģi, Latvijas Kuģu reģistrā iesniedz Jūras kodeksa 16. panta 3.</w:t>
      </w:r>
      <w:r w:rsidR="00000000" w:rsidRPr="00000000" w:rsidDel="00000000">
        <w:rPr>
          <w:vertAlign w:val="superscript"/>
          <w:rtl w:val="0"/>
        </w:rPr>
        <w:t xml:space="preserve">1</w:t>
      </w:r>
      <w:r w:rsidR="00000000" w:rsidRPr="00000000" w:rsidDel="00000000">
        <w:rPr>
          <w:rtl w:val="0"/>
        </w:rPr>
        <w:t xml:space="preserve"> daļā noteikto visu kopīpašnieku rakstveida vienošanos. Pušu parakstu īstumam jābūt notariāli apliecinātam vai vienošanās dokumentam jābūt parakstītam ar drošu elektronisko parakstu."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Ja saskaņā ar šo noteikumu 10.3., 10.</w:t>
      </w:r>
      <w:r w:rsidR="00000000" w:rsidRPr="00000000" w:rsidDel="00000000">
        <w:rPr>
          <w:vertAlign w:val="superscript"/>
          <w:rtl w:val="0"/>
        </w:rPr>
        <w:t xml:space="preserve">1</w:t>
      </w:r>
      <w:r w:rsidR="00000000" w:rsidRPr="00000000" w:rsidDel="00000000">
        <w:rPr>
          <w:rtl w:val="0"/>
        </w:rPr>
        <w:t xml:space="preserve">3., 12.3. un 15.3. apakšpunktu kā viens no īpašumtiesību iegūšanu apliecinošiem dokumentiem kuģu reģistrā reģistrēta kuģa, peldošās konstrukcijas, nostiprinātās iekārtas, atpūtas kuģa vai zvejas laivas īpašumtiesību maiņas reģistrācijai tiek iesniegts atsavināšanas līgums, tam jābūt apliecinātam šo noteikumu 16. punktā minētajā kārtībā vai parakstītam ar drošu elektronisko parakstu."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Ja kuģu reģistrā reģistrēta atpūtas kuģa vai zvejas laivas reģistrētais īpašnieks un ieguvējs ir fiziska persona un saskaņā ar šo noteikumu 12.3. un 15.3. apakšpunktu kā viens no īpašumtiesību iegūšanu apliecinošiem dokumentiem īpašumtiesību maiņas reģistrācijai tiek iesniegts atsavināšanas līgums, var nepiemērot šo noteikumu 19. punktā minētās prasības, ja atsavināšanas līgumu abas šajā punktā minētās personas paraksta pašrocīgi un vienlaikus kuģu reģistratora klātbūtnē un uzrāda Latvijas Republikā izsniegtu personu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Ja kāda no darījuma pusēm ir juridiska persona un personas, kas parakstījusi šo noteikumu 19. punktā minēto dokumentu ar drošu elektronisko parakstu, pārstāvības tiesības nav reģistrētas Latvijas Republikas Uzņēmumu reģistra vestajos reģistros, tad papildus iesniedz pilnvaru attiecīgu darbību veikšanai, kas parakstīta ar drošu elektronisko parakstu un kuru izdevusi persona, kuras pārstāvības tiesības ir reģistrētas Latvijas Republikas Uzņēmumu reģistra vestajos reģistros. Šajā punktā noteiktā kārtība ir attiecināma uz visiem šajos noteikumos minētajiem gadījumiem, kad dokumentu ar drošu elektronisko parakstu juridiskās personas vārdā paraksta persona, kuras pārstāvības tiesības nav reģistrētas Latvijas Republikas Uzņēmumu reģistra vestajos reģistros."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Ja jaunuzbūvēts, iepriekš nereģistrēts atpūtas kuģis tiek iegādāts no Latvijas Republikā reģistrēta komersanta, kas ir attiecīgā atpūtas kuģa būvētāja dīleris vai aģents Latvijā un kas būvētāja izsniegtajā kuģa būves sertifikātā ir norādīts kā atpūtas kuģa ieguvējs, minētā kuģa pirmreizējai reģistrācijai piemēro šo noteikumu 19. punktā minēto kārtību. Šādā gadījumā papildus iesniedz būvētāja izsniegtu apliecinājumu par dīlera vai aģenta tiesību spēkā esību atsavināšanas līguma noslēgšanas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kuģa obligāciju (7. pielikums). Pušu parakstu īstumam jābūt notariāli apliecinātam vai kuģa obligācijai jābūt parakstītai ar drošu elektronisko parakstu;".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Lai pārjaunotu kuģa hipotēku, viena no personām, kas parakstījusi pārjaunojuma līgumu, iesniedz Latvijas Kuģu reģistrā iesniegumu kuģa hipotēkas pārjaunojuma reģistrācijai (8. pielikums). Pušu parakstu īstumam jābūt notariāli apliecinātam vai iesniegumam jābūt parakstītam ar drošu elektronisko parakstu."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Lai reģistrētu grozījumus kuģa hipotēkā, Latvijas Kuģu reģistrā iesniedz iesniegumu kuģa hipotēkas grozījumu reģistrācijai (9. pielikums). Pušu parakstu īstumam jābūt notariāli apliecinātam vai iesniegumam jābūt parakstītam ar drošu elektronisko parakstu."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Lai cedētu kuģa hipotēku (no kuģa hipotēkas izrietošās prasījuma tiesības), viena no personām, kas parakstījusi cesijas līgumu, iesniedz Latvijas Kuģu reģistrā iesniegumu kuģa hipotēkas cesijas reģistrācijai (10. pielikums). Pušu parakstu īstumam jābūt notariāli apliecinātam vai iesniegumam jābūt parakstītam ar drošu elektronisko parakstu."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20.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 Linkaits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21-TA-781</w:t>
    </w:r>
    <w:r>
      <w:br/>
    </w:r>
    <w:r w:rsidR="00000000" w:rsidRPr="00000000" w:rsidDel="00000000">
      <w:rPr>
        <w:rtl w:val="0"/>
      </w:rPr>
      <w:t xml:space="preserve">Izdrukāts 29.07.2026. 22.34 - 1.0.VK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21-TA-781</w:t>
    </w:r>
    <w:r>
      <w:br/>
    </w:r>
    <w:r w:rsidR="00000000" w:rsidRPr="00000000" w:rsidDel="00000000">
      <w:rPr>
        <w:rtl w:val="0"/>
      </w:rPr>
      <w:t xml:space="preserve">Izdrukāts 29.07.2026. 22.34 - 1.0.VK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noteikumu_(grozījumu)_projekts_21-TA-781.docx</dc:title>
</cp:coreProperties>
</file>

<file path=docProps/custom.xml><?xml version="1.0" encoding="utf-8"?>
<Properties xmlns="http://schemas.openxmlformats.org/officeDocument/2006/custom-properties" xmlns:vt="http://schemas.openxmlformats.org/officeDocument/2006/docPropsVTypes"/>
</file>