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maijā (prot. Nr. 19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pasākumu "Pilsonisko līdzdalību veicinošu kultūras pakalpojumu pieejamības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kultūras izpratnes un izpausmes kompetenci, lai sekmētu pilsonisko līdzdalību un spēcinātu pilsonisko sabiedrību, nodrošinot vienlīdzīgu profesionālās mākslas un kultūras norišu piekļūstamību pasākuma mērķa grupai neatkarīgi no dzīvesvietas un ģimenes sociāli ekonomiskā stāvokļa.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bērni un jaunieši, kuri apgūst pamatizglītības, vispārējās vidējās izglītības un profesionālās pamatizglītības vai profesionālās vidējās izglītības programmas, jo īpaši mazāk aizsargātās grupas, pedagogi un vietējā kopiena.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ir sasniedzami šādi nacionālie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skaits, kam pilnveidota kompetence sekmēt pilsonisko līdzdalību ar profesionālās mākslas un kultūras norisēm, – vismaz 200 pedagogi;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 kuri attīstījuši pilsoniskās līdzdalības prasmes, piedaloties pilsonisko līdzdalību sekmējošu profesionālās mākslas un kultūras norišu aprobēšanā, – vismaz 5 000 izglītojamie;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pilnveidojušas kompetenci izmantot kultūras norises kopienas vajadzību risināšanai, – vismaz 20 izglītības iestādes no 20 pašvaldībām.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attiecināmais finansējums ir 1 918 966 </w:t>
      </w:r>
      <w:r w:rsidR="00000000" w:rsidRPr="00000000" w:rsidDel="00000000">
        <w:rPr>
          <w:i w:val="1"/>
          <w:rtl w:val="0"/>
        </w:rPr>
        <w:t xml:space="preserve">euro </w:t>
      </w:r>
      <w:r w:rsidR="00000000" w:rsidRPr="00000000" w:rsidDel="00000000">
        <w:rPr>
          <w:rtl w:val="0"/>
        </w:rPr>
        <w:t xml:space="preserve">(no tā elastības finansējums – 160 055 </w:t>
      </w:r>
      <w:r w:rsidR="00000000" w:rsidRPr="00000000" w:rsidDel="00000000">
        <w:rPr>
          <w:i w:val="1"/>
          <w:rtl w:val="0"/>
        </w:rPr>
        <w:t xml:space="preserve">euro</w:t>
      </w:r>
      <w:r w:rsidR="00000000" w:rsidRPr="00000000" w:rsidDel="00000000">
        <w:rPr>
          <w:rtl w:val="0"/>
        </w:rPr>
        <w:t xml:space="preserve">), tai skaitā ESF+ finansējums – 1 631 121 </w:t>
      </w:r>
      <w:r w:rsidR="00000000" w:rsidRPr="00000000" w:rsidDel="00000000">
        <w:rPr>
          <w:i w:val="1"/>
          <w:rtl w:val="0"/>
        </w:rPr>
        <w:t xml:space="preserve">euro </w:t>
      </w:r>
      <w:r w:rsidR="00000000" w:rsidRPr="00000000" w:rsidDel="00000000">
        <w:rPr>
          <w:rtl w:val="0"/>
        </w:rPr>
        <w:t xml:space="preserve">(no tā elastības finansējums – 136 047 </w:t>
      </w:r>
      <w:r w:rsidR="00000000" w:rsidRPr="00000000" w:rsidDel="00000000">
        <w:rPr>
          <w:i w:val="1"/>
          <w:rtl w:val="0"/>
        </w:rPr>
        <w:t xml:space="preserve">euro</w:t>
      </w:r>
      <w:r w:rsidR="00000000" w:rsidRPr="00000000" w:rsidDel="00000000">
        <w:rPr>
          <w:rtl w:val="0"/>
        </w:rPr>
        <w:t xml:space="preserve">) un valsts budžeta līdzfinansējums – 287 845 </w:t>
      </w:r>
      <w:r w:rsidR="00000000" w:rsidRPr="00000000" w:rsidDel="00000000">
        <w:rPr>
          <w:i w:val="1"/>
          <w:rtl w:val="0"/>
        </w:rPr>
        <w:t xml:space="preserve">euro </w:t>
      </w:r>
      <w:r w:rsidR="00000000" w:rsidRPr="00000000" w:rsidDel="00000000">
        <w:rPr>
          <w:rtl w:val="0"/>
        </w:rPr>
        <w:t xml:space="preserve">(no tā elastības finansējums – 24 008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1 758 911 </w:t>
      </w:r>
      <w:r w:rsidR="00000000" w:rsidRPr="00000000" w:rsidDel="00000000">
        <w:rPr>
          <w:i w:val="1"/>
          <w:rtl w:val="0"/>
        </w:rPr>
        <w:t xml:space="preserve">euro </w:t>
      </w:r>
      <w:r w:rsidR="00000000" w:rsidRPr="00000000" w:rsidDel="00000000">
        <w:rPr>
          <w:rtl w:val="0"/>
        </w:rPr>
        <w:t xml:space="preserve">apmērā, tai skaitā ESF+ finansējumu – 1 495 074 </w:t>
      </w:r>
      <w:r w:rsidR="00000000" w:rsidRPr="00000000" w:rsidDel="00000000">
        <w:rPr>
          <w:i w:val="1"/>
          <w:rtl w:val="0"/>
        </w:rPr>
        <w:t xml:space="preserve">euro </w:t>
      </w:r>
      <w:r w:rsidR="00000000" w:rsidRPr="00000000" w:rsidDel="00000000">
        <w:rPr>
          <w:rtl w:val="0"/>
        </w:rPr>
        <w:t xml:space="preserve">apmērā un valsts budžeta līdzfinansējumu – 263 837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projektam plānotā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ir Latvijas Nacionālais kultūras centrs. Projekta iesniedzējs pēc projekta iesnieguma apstiprināšanas sadarbības iestādē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nacionālā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norādītajām personām atbilstoši Eiropas Parlamenta un Padomes 2021. gada 24. jūnija Regulas (ES) Nr. 2021/1057, ar ko izveido Eiropas Sociālo fondu Plus (ESF+) un atceļ Regulu (ES) Nr. 1296/2013, I pielikumam un reizi gadā iesniedz sadarbības iestādē pārskatu par projekta dalībniekiem atbilstoši normatīvajam aktam,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rādītāju – konsultatīva rakstura pasākumu skaits ar ekspertiem nediskriminācijas jomā,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2024/2509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dubultā finansējuma riska novēršanu un demarkāciju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ievieto aktuālu informāciju par projekta īstenošanu savā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sniedz sadarbības iestādei informāciju par 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horizontālo principu rādītāju,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kultūrizglītības programmā "Latvijas skolas soma" iekļauto bērniem un jauniešiem domāto profesionālās mākslas un kultūras norišu izvērtēšana un atlase, lai noteiktu profesionālās mākslas un kultūras norises, kurām piemīt pilsoniskās līdzdalības veicināšanas potenciāls, un mērķa grupas kompetences izvērtēšana, lai noteiktu spēju izmantot kultūras norises pilsoniskās līdzdalības un demokrātijas stiprināšanā;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atlasīto profesionālās mākslas un kultūras norišu aprobēšana izglītības iestādēs un kopienās, lai attīstītu un sekmētu pasākuma mērķa grupas pilsonisko līdzdalību;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norišu aprobācijas laikā iegūto labās prakses piemēru apkopošana un izplatīšana par profesionālās mākslas un kultūras norišu īstenošanu pilsoniskās līdzdalības veicināšanai;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profesionālās pilnveides pasākumu īstenošana, sekmējot prasmes izmantot profesionālās mākslas un kultūras norises pilsoniskās līdzdalības veicināšanai;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pedagogiem, lai profesionālās mākslas un kultūras norises varētu izmantot pilsoniskās līdzdalības veicināšanai un izglītojamo līdzdalībai norišu izvēles un plānošanas procesā;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metodisko materiālu izstrāde profesionālās mākslas un kultūras norišu veidotājiem par profesionālās mākslas un kultūras norišu izmantošanu līdzdalības veicināšanai un demokrātijas principu iedzīvināšanai bērnu un jauniešu auditorijās;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 mēroga konferences organizēšana, lai stiprinātu izglītības un kultūras nozares sadarbību pilsoniskās līdzdalības veicināšanai;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starptautiskas konferences īstenošana par kultūras piekļūstamību, izmantojot kultūrizglītības programmas "Latvijas skolas soma" un līdzīgu Eiropas iniciatīvu pieredzi;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21.1.1. </w:t>
      </w:r>
      <w:r w:rsidR="00000000" w:rsidRPr="00000000" w:rsidDel="00000000">
        <w:rPr>
          <w:rtl w:val="0"/>
        </w:rPr>
        <w:t xml:space="preserve">apakšpunkts</w:t>
      </w:r>
      <w:r w:rsidR="00000000" w:rsidRPr="00000000" w:rsidDel="00000000">
        <w:rPr>
          <w:rtl w:val="0"/>
        </w:rPr>
        <w:t xml:space="preserve"> uz finansējuma saņēmēja projekta vadības personāla un īstenošanas personāla izmaksām attiecināms līdz brīdim, kad tiks apstiprināta atbildīgās iestādes izstrādātā un ar vadošo iestādi saskaņotā vienas vienības izmaksu standarta likmes aprēķina un piemērošanas metodika finansējuma saņēmēja projekta vadības personāla un īstenošanas personāla izmaksām (turpmāk – vienkāršoto izmaksu metodika);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vienkāršoto izmaksu metodikas apstiprināšanas finansējuma saņēmēja projekta vadības un īstenošanas personāla izmaksas tiek segtas, piemērojot vienkāršoto izmaksu metodiku;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finansējuma saņēmēja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 un </w:t>
      </w:r>
      <w:r w:rsidR="00000000" w:rsidRPr="00000000" w:rsidDel="00000000">
        <w:rPr>
          <w:rtl w:val="0"/>
        </w:rPr>
        <w:t xml:space="preserve">19.10.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jaunradītu projekta vadības un īstenošanas personāla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šo noteikumu </w:t>
      </w:r>
      <w:r w:rsidR="00000000" w:rsidRPr="00000000" w:rsidDel="00000000">
        <w:rPr>
          <w:rtl w:val="0"/>
        </w:rPr>
        <w:t xml:space="preserve">19.10. </w:t>
      </w:r>
      <w:r w:rsidR="00000000" w:rsidRPr="00000000" w:rsidDel="00000000">
        <w:rPr>
          <w:rtl w:val="0"/>
        </w:rPr>
        <w:t xml:space="preserve">apakšpunktā</w:t>
      </w:r>
      <w:r w:rsidR="00000000" w:rsidRPr="00000000" w:rsidDel="00000000">
        <w:rPr>
          <w:rtl w:val="0"/>
        </w:rPr>
        <w:t xml:space="preserve"> minēto atbalstāmo darbību īstenošanai. Ja projekta vadības un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nomas izmaksas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un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projekta vadības un īstenošanas personāla un mērķa grupas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 un </w:t>
      </w:r>
      <w:r w:rsidR="00000000" w:rsidRPr="00000000" w:rsidDel="00000000">
        <w:rPr>
          <w:rtl w:val="0"/>
        </w:rPr>
        <w:t xml:space="preserve">19.10.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ārpakalpojuma (tai skaitā uzņēmuma līgumu) izmaksas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un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konsultantu, ekspertu un citu speciālistu atlīdzība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un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mākslas un kultūras norišu apmeklējuma izmaksas projekta īstenošanas personālam, projekta mērķa grupai un projekta aktivitātēs iesaistītajām personām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licences izmaksas par autortiesību un blakus tiesību izmantošanu un autoratlīdzība, tai skaitā iedzīvotāju ienākuma nodoklis un valsts sociālās apdrošināšanas obligātās iemaksas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metodisko materiālu izstrādes un publiskošanas izmaksas 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19.6.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profesionālās mākslas un kultūras norišu aprobēšanas izmaksas (piemēram, materiālu, tehniskā nodrošinājuma izmaksas) un kopienas pilsoniskās līdzdalības aktivitāšu īstenošanas izmaksas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konferenču, semināru, ekspertu darba grupu un pieredzes apmaiņas pasākumu organizēšanas izmaksas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un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vizuālās identitātes prasību nodrošināšanas izmaksas šo noteikumu </w:t>
      </w:r>
      <w:r w:rsidR="00000000" w:rsidRPr="00000000" w:rsidDel="00000000">
        <w:rPr>
          <w:rtl w:val="0"/>
        </w:rPr>
        <w:t xml:space="preserve">19.9.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pandusu nomas, indukcijas cilpu nomas, zīmju valodas tulku un vieglās valodas tulkošanas pakalpojumu izmaksas, subtitrēšanas un reāllaika transkripcijas pakalpojumu izmaksas, ja tas ir nepieciešams vides un informācijas piekļūstamības nodrošināšanai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un </w:t>
      </w:r>
      <w:r w:rsidR="00000000" w:rsidRPr="00000000" w:rsidDel="00000000">
        <w:rPr>
          <w:rtl w:val="0"/>
        </w:rPr>
        <w:t xml:space="preserve">19.8.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Atbildīgā iestāde izstrādā šo noteikumu </w:t>
      </w:r>
      <w:r w:rsidR="00000000" w:rsidRPr="00000000" w:rsidDel="00000000">
        <w:rPr>
          <w:rtl w:val="0"/>
        </w:rPr>
        <w:t xml:space="preserve">21.1.2. </w:t>
      </w:r>
      <w:r w:rsidR="00000000" w:rsidRPr="00000000" w:rsidDel="00000000">
        <w:rPr>
          <w:rtl w:val="0"/>
        </w:rPr>
        <w:t xml:space="preserve">apakšpunktā</w:t>
      </w:r>
      <w:r w:rsidR="00000000" w:rsidRPr="00000000" w:rsidDel="00000000">
        <w:rPr>
          <w:rtl w:val="0"/>
        </w:rPr>
        <w:t xml:space="preserve"> minēto vienkāršoto izmaksu metodiku un saskaņo to ar vadošo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kas tiešā veidā saistīts ar projektu, ir uzskatāms par attiecināmajām izmaksām saskaņā ar regulas Nr. 2021/1060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projektā plāno kā vienu izmaksu pozīciju, piemērojot netiešo izmaksu vienoto likmi 15 procentu apmērā no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minētajām tiešajām personāla izmaksām, kas radušās uz darba līguma pamata, saskaņā ar regulas Nr. 2021/1060 54. panta "b"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atbilstošs projekta darbības specifikai, īstenojot sociāli atbildīgus un inovatīvus iepirkumus.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vismaz 40 kultūrizglītības programmā "Latvijas skolas soma" iekļautās profesionālās mākslas un kultūras norises bērniem un jauniešiem, lai noteiktu tās norises, kurām piemīt pilsoniskās līdzdalības veicināšanas potenciāls: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izvērtējumā iekļaujot profesionālās mākslas un kultūras norises, kas pārstāv mūzikas, teātra, dejas, cirka, vizuālās mākslas, kino, arhitektūras, dizaina, kultūras mantojuma, literatūras un grāmatniecības nozares;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izvērtēšanu veicot pēc dažādiem kritērijiem, tai skaitā vecumposmu, vieglās valodas un citiem kritērijiem;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izvērtēšanas un atlases procesā iesaistot kultūras un izglītības nozares ekspertus;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 pašvaldībās atlasa vismaz 20 izglītības iestādes, ar kurām kopīgi aprobēt profesionālās mākslas un kultūras norises, tai skaitā no attālākiem lauku reģioniem un pierobežas, un nodrošina, ka atlasītās 20 izglītības iestādes projekta aktivitātēs iesaista vēl vismaz 20 izglītības iestādes;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veikto kultūras norišu izvērtējumu un atlasi, īsteno profesionālās mākslas un kultūras norišu aprobēšanu izglītības iestādēs un kopienās, piemēram, kultūras centros, bibliotēkās un muzejos, lai veicinātu kopienas iesaisti un pilsonisko līdzdalību, nodrošinot, ka: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mākslas un kultūras norišu aprobēšanai izglītības iestādēs ir izveidota darba grupa ar kultūras un izglītības nozares un nevalstisko organizāciju pārstāvjiem;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mākslas un kultūras norišu aprobēšanas procesā tiek piesaistīti eksperti ar pieredzi pilsoniskās līdzdalības sekmēšanas, daudzveidīgu sabiedrības grupu iesaistes, bērnu tiesību, cilvēktiesību un citos jautājumos, tai skaitā eksperti, kam ir pieredze sociālā un psihoemocionālā atbalsta sniegšanā bērniem un jauniešiem;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mākslas un kultūras norišu aprobēšanas rezultātā to saturā ir iekļauti sociāli aktuāli un vecumposmam atbilstoši jautājumi ar mērķi attīstīt bērnu un jauniešu auditorijas pilsonisko līdzdalību;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mākslas un kultūras norišu aprobēšanas rezultātā ir mazināti konkrēti piekļūstamības šķēršļi, tai skaitā ierobežotu valodas zināšanu, nepietiekamu sociālo prasmju, sociālekonomiskā stāvokļa, veselības vai attīstības traucējumu (vieglā valoda, surdotulkojumi) radītie šķēršļi;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pedagogu profesionālās pilnveides pasākumus, sekmējot prasmi izmantot profesionālās mākslas un kultūras norises pilsoniskās līdzdalības veicināšanai, vienlaikus stiprinot pedagogu kapacitāti sniegt atbalstu citiem pedagogiem profesionālās mākslas un kultūras norišu izmantošanā;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metodiskā materiāla izstrādi pedagogiem profesionālās mākslas un kultūras norišu izmantošanā pilsoniskās līdzdalības veicināšanai un izglītojamo līdzdalībai norišu izvēles un plānošanas procesā, attīstot pilsonisko līdzdalību un demokrātisku attieksmi;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pamatojoties uz šo noteikumu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minētās profesionālās mākslas un kultūras norišu aprobēšanas rezultātiem, nodrošina metodiskā materiāla izstrādi profesionālās mākslas un kultūras norišu veidotājiem, kā stiprināt profesionālās mākslas un kultūras norišu izmantošanu līdzdalības veicināšanā un demokrātijas principu iedzīvināšanā bērnu un jauniešu auditorijai,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 profesionālās mākslas un kultūras norišu potenciālu pilsoniskās līdzdalības veicināšanā;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apraksta pilsonisko līdzdalību un demokrātisku attieksmi veicinošu profesionālās mākslas un kultūras norišu piemērus;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ietver ieteikumus kultūras nozares profesionāļiem;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iesaista lektorus un nodarbību vadītājus metodiskā materiāla izstrādē;</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atgriezenisko saiti no bērniem un jauniešiem, kas piedalījās šo noteikumu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minētajā profesionālās mākslas un kultūras norišu aprobēšanā, un apkopo iegūtos rezultātus;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nacionāla mēroga konferences izglītības un kultūras nozares sadarbībai pilsoniskās līdzdalības veicināšanā;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apkopo un izplata aprobācijas laikā iegūtos labās prakses piemērus par profesionālās mākslas un kultūras norišu īstenošanu pilsoniskās līdzdalības veicināšanai;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izvērtē mērķa grupas kompetences izmantot kultūras norises pilsoniskās līdzdalības un demokrātijas stiprināšanā;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īsteno starptautiskas konferences par kultūras piekļūstamību, izmantojot kultūrizglītības programmas "Latvijas skolas soma" un līdzīgu Eiropas iniciatīvu pieredzi.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24-TA-3115</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24-TA-3115</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noteikumu_projekts_24-TA-3115.docx</dc:title>
</cp:coreProperties>
</file>

<file path=docProps/custom.xml><?xml version="1.0" encoding="utf-8"?>
<Properties xmlns="http://schemas.openxmlformats.org/officeDocument/2006/custom-properties" xmlns:vt="http://schemas.openxmlformats.org/officeDocument/2006/docPropsVTypes"/>
</file>