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2015. gada 1. septembra noteikumos Nr. 506 "Mēslošanas līdzekļu un substrātu identifikācijas, kvalitātes atbilstības novērtēšanas un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Mēslošanas līdzekļu aprites likuma</w:t>
      </w:r>
      <w:r>
        <w:br/>
      </w:r>
      <w:r w:rsidR="00000000" w:rsidRPr="00000000" w:rsidDel="00000000">
        <w:rPr>
          <w:rStyle w:val="paragraph"/>
          <w:i w:val="1"/>
          <w:rtl w:val="0"/>
        </w:rPr>
        <w:t xml:space="preserve">4. panta pirmās daļas 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2015. gada 1. septembra noteikumos Nr. 506 "Mēslošanas līdzekļu un substrātu identifikācijas, kvalitātes atbilstības novērtēšanas un tirdzniecības noteikumi" (Latvijas Vēstnesis, 2015, 179. nr.; 2016, 88. nr.; 2018, 137. nr.; 2020, 21. nr.; 2022, 10. nr.; 2024, 43.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"15.2. ražotājs vai ievedējs – akreditētas laboratorijas izsniegtu testēšanas pārskatu (Eiropas Savienības dalībvalstī un Eiropas Ekonomikas zonas valstī ražotam mēslošanas līdzeklim un substrātam drīkst iesniegt ražotāja izsniegtu testēšanas pārskatu), savukārt par bioloģiski aktīviem savienojumiem augu augšanas veicinātāju sastāvā un dzīvotspējīgiem mikroorganismiem mikrobioloģisko preparātu sastāvā drīkst iesniegt testēšanas pārskatu, kuru izsniegusi zinātniska institūcija, kas atbilstoši Zinātniskās darbības likumam ir reģistrēta Zinātnisko institūciju reģistrā, vai citas Eiropas Savienības dalībvalsts oficiāli reģistrēta zinātniskā institūcija. Reģistrācijai iesniegtais testēšanas pārskats ir derīgs 12 mēnešus no parauga iesniegšanas dienas laboratorijā (vairāku testēšanas pārskatu gadījumā, tiek ņemts vērā jaunākais pārskats);".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15.5.</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etiķetes, marķējuma vai pavaddokumenta oriģinālu vai to kopiju;".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15.6.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"15.6. testēšanas ziņojumu par veikto detonācijnoturības pārbaudi (turpmāk – detonācijnoturības tests) vai tā kopiju – par amonija nitrāta mēslošanas līdzekļiem, kuros slāpekļa saturs ir 28 procentu vai vairāk no mēslošanas līdzekļa masas. 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21.5.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"21.5. augu augšanas veicinātājs vai mikrobioloģiskais preparāts izmēģinājumā, kurā ievērots vienīgās atšķirības princips un kurš ar lauka kultūraugiem veikts pēdējo 10 gadu laikā vismaz divus gadus pēc kārtas, bet ar segto platību kultūraugiem – vismaz divus secīgus ražas ciklus, pārbaudes periodā ir devis vidēji vismaz 10 procentu ražas pieaugumu (izņemot dekoratīvos augus). Mēslošanas līdzekļa marķējumā norāda to kultūraugu vai kultūraugu grupu, par kuru iegūts pozitīvs efektivitātes pārbaudes rezultāts. Kultūraugu grupu norāda, ja iegūts pozitīvs efektivitātes pārbaudes rezultāts vismaz par trim to pārstāvošiem kultūraugiem;".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Ja mēslošanas līdzekļa vai substrāta ražotāja vai ievedēja reģistrācijas apliecība tiek anulēta, tad arī uz šīs reģistrācijas apliecības pamata iepakotājam izsniegtā reģistrācijas apliecība tiek anulēta saskaņā ar Mēslošanas līdzekļu aprites likuma 11. panta pirmo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34.6.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"34.6. detonācijnoturības testu vai tā kopiju par amonija nitrāta mēslošanas līdzekļiem, kuros slāpekļa saturs ir 28 procentu vai vairāk no mēslošanas līdzekļa masas. 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35.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Ja produkts neatbilst Mēslošanas līdzekļu aprites likuma 1. panta 2. punktā noteiktajai mēslošanas līdzekļa definīcijai un kādai no šo noteikumu 1. pielikumā uzskaitītajām mēslošanas līdzekļu kategorijām, tas nav paziņojams."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36.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2</w:t>
      </w:r>
      <w:r w:rsidR="00000000" w:rsidRPr="00000000" w:rsidDel="00000000">
        <w:rPr>
          <w:rtl w:val="0"/>
        </w:rPr>
        <w:t xml:space="preserve"> Mēslošanas līdzekli izslēdz no paziņoto mēslošanas līdzekļu un substrātu saraksta, ja persona divus gadus pēc kārtas nav iesniegusi pārskatu par savu darbību ar mēslošanas līdzekļiem saskaņā ar Mēslošanas līdzekļu aprites likuma 5. panta pirmās daļas 2. punktu. Mēslošanas līdzekļu krājumi tirdzniecības tīklā var atrasties trīs gadus pēc lēmumu pieņemšanas, ja tie nav bīstami cilvēku un dzīvnieku veselībai un videi.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39.</w:t>
      </w:r>
      <w:r w:rsidR="00000000" w:rsidRPr="00000000" w:rsidDel="00000000">
        <w:rPr>
          <w:vertAlign w:val="superscript"/>
          <w:rtl w:val="0"/>
        </w:rPr>
        <w:t xml:space="preserve">2</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2</w:t>
      </w:r>
      <w:r w:rsidR="00000000" w:rsidRPr="00000000" w:rsidDel="00000000">
        <w:rPr>
          <w:rtl w:val="0"/>
        </w:rPr>
        <w:t xml:space="preserve">3. informāciju par sastāvdaļām, ja nepieciešams, norādot to izcelsmi un iegūšanas metodi."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44.1.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izvērtē nepieciešamību izdarīt grozījumus reģistrā, ja nepieciešams, pieaicinot personu un atbilstošas kvalifikācijas ekspertus, vai pieņem lēmumu anulēt mēslošanas līdzekļa vai substrāta reģistrāciju un tā reģistrācijas apliecību, ja tas attiecas uz reģistrētu mēslošanas līdzekli vai substrātu;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"51. Informāciju par mēslošanas līdzekli un substrātu norāda mēslošanas līdzekļa vai substrāta iepakojuma etiķetē vai marķējumā, bet neiepakotiem mēslošanas līdzekļiem un substrātiem – pavaddokumentā. Ja mēslošanas līdzekļa un substrāta iepakojuma masa pārsniedz 25 kilogramus, informāciju par mēslošanas līdzekli vai substrātu latviešu valodā atbilstoši šo noteikumu prasībām var norādīt mēslošanas līdzekļa pavaddokumentā."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"55. Mēslošanas līdzekļa un substrāta reģistrācijai iesniegtā etiķete vai marķējums, kura teksts bija iesniegts mēslošanas līdzekļa vai substrāta reģistrācijai, atrodas uz iepakojuma labi redzamā vietā un ir skaidri nodalīts no jebkuras citas informācijas, kas nedrīkst būt pretrunā ar iesniegto etiķetes vai marķējuma tekstu. Cita informācija nedrīkst būt pretrunā ar iesniegto etiķetes vai marķējuma tekstu, nemaldina lietotāju, neietver apgalvojumus paziņojumu vai vizuālu attēlu veidā, ka mēslošanas līdzeklis novērš vai ārstē augu slimības vai aizsargā augus pret kaitīgiem organismiem."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65.2.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"65.2. detonācijnoturības testu vai tā kopiju par amonija nitrāta mēslošanas līdzekļiem, kuros slāpekļa saturs ir 28 procentu vai vairāk no mēslošanas līdzekļa masas.Detonācijnoturības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67.2.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"67.2. detonācijnoturības testu vai tā kopiju par amonija nitrāta mēslošanas līdzekļiem, kuros slāpekļa saturs ir 28 procentu vai vairāk no mēslošanas līdzekļa masas. 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73.2.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"73.2. detonācijnoturības testu vai tā kopiju par amonija nitrāta mēslošanas līdzekļiem, kuros slāpekļa saturs ir 28 procentu vai vairāk no mēslošanas līdzekļa masas. Detonācijnoturības tests nav vecāks par trim mēnešiem;".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75.2.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"75.2. detonācijnoturības testu vai tā kopiju par amonija nitrāta mēslošanas līdzekļiem, kuros slāpekļa saturs ir 28 procentu vai vairāk no mēslošanas līdzekļa masas. Detonācijnoturības tests nav vecāks par trim mēnešiem;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Papildināt ar 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"92. Personas, kas saskaņā ar šo noteikumu 1. pielikumu G sadaļā ir reģistrējušas organisku mēslošanas līdzekli, kas neatbilst šo noteikumu 1. pielikuma G sadaļas prasībām, līdz 2028. gada 31. decembrim to pārreģistrē J sadaļā, ja ir izpildītas J sadaļas mēslošanas līdzekļiem noteiktās prasības. Ja reģistrētais organiskais mēslošanas līdzeklis, kas neatbilst šo noteikumu 1. pielikuma G sadaļas prasībām, līdz 2028. gada 31. decembrim nav pārreģistrēts J sadaļā, tā reģistrāciju anulē."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93.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"93. Ja reģistrētam augu augšanas veicinātājam, kas neatbilst šo noteikumu 1. pielikuma J sadaļas prasībām, līdz 2025. gada 31. decembrim nav veikti grozījumi, lai tie atbilstu J sadaļas prasībām, tā reģistrāciju anulē."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94.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"94. Paziņotos mēslošanas līdzekļus, kas neatbilst šo noteikumu 35.</w:t>
      </w:r>
      <w:r w:rsidR="00000000" w:rsidRPr="00000000" w:rsidDel="00000000">
        <w:rPr>
          <w:vertAlign w:val="superscript"/>
          <w:rtl w:val="0"/>
        </w:rPr>
        <w:t xml:space="preserve">1</w:t>
      </w:r>
      <w:r w:rsidR="00000000" w:rsidRPr="00000000" w:rsidDel="00000000">
        <w:rPr>
          <w:rtl w:val="0"/>
        </w:rPr>
        <w:t xml:space="preserve"> punktā noteiktajām prasībām, dienests izslēdz no paziņoto mēslošanas līdzekļu un substrātu saraksta līdz 2025. gada 31. decembrim."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12.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24-TA-2091</w:t>
    </w:r>
    <w:r>
      <w:br/>
    </w:r>
    <w:r w:rsidR="00000000" w:rsidRPr="00000000" w:rsidDel="00000000">
      <w:rPr>
        <w:rtl w:val="0"/>
      </w:rPr>
      <w:t xml:space="preserve">Izdrukāts 29.07.2026. 22.34 - 1.0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24-TA-2091</w:t>
    </w:r>
    <w:r>
      <w:br/>
    </w:r>
    <w:r w:rsidR="00000000" w:rsidRPr="00000000" w:rsidDel="00000000">
      <w:rPr>
        <w:rtl w:val="0"/>
      </w:rPr>
      <w:t xml:space="preserve">Izdrukāts 29.07.2026. 22.34 - 1.0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noteikumu_(grozījumu)_projekts_24-TA-2091.docx</dc:title>
</cp:coreProperties>
</file>

<file path=docProps/custom.xml><?xml version="1.0" encoding="utf-8"?>
<Properties xmlns="http://schemas.openxmlformats.org/officeDocument/2006/custom-properties" xmlns:vt="http://schemas.openxmlformats.org/officeDocument/2006/docPropsVTypes"/>
</file>