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novembrī (prot. Nr. 48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14. janvāra noteikumos Nr. 40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14. janvāra noteikumos Nr. 40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 (Latvijas Vēstnesis, 2025, 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Finansējuma saņēmējam paredzēto avansu var izmaksāt pa daļām. Maksimālais avansa apjoms nepārsniedz 30 procentus no projektam piešķirtā ESF+ finansējuma un valsts budžeta līdzfinansējuma kopsummas. Avansa un starpposma maksājumu kopsumma nepārsniedz 90 procentus no projektam piešķirtā ESF+ un valsts budžeta līdzfinansējuma kopsummas. Avansā neietilpst finansējums šo noteikumu 18.4. apakšpunktā minētajai atbalstāmajai darbībai, ko īsteno šo noteikumu 14. punktā minētais sadarbības partneris. Šo noteikumu 14. punktā minētais sadarbības partneris šo noteikumu 23. punktā minētā finansējuma ietvaros maksājumus veic no līdzekļiem, kas projekta īstenošanai paredzēti Izglītības un zinātnes ministrijas budžetā atbilstoši sadarbības līgumam, kas noslēgts ar finansējuma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Atbalsts pilotakreditācijas dalībniekam saimnieciskās darbības veikšanai nav kvalificējams kā komercdarbības atbalsts, ja pilotakreditācijas dalībniekam nav ietekmes uz Eiropas Savienības iekšējo tirgu, tas ir, ja tas atbilst vismaz vienam no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85 procenti un vairāk no visiem studējošajiem ir Latvijas iedzīvotāji;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vairāk nekā 50 procentiem studējošo studiju valoda ir latviešu valoda;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pasaules universitāšu reitingos attiecīgā augstskola nav iekļauta 500 labāko augstskolu 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40.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25-TA-2184</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25-TA-2184</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noteikumu_(grozījumu)_projekts_25-TA-2184.docx</dc:title>
</cp:coreProperties>
</file>

<file path=docProps/custom.xml><?xml version="1.0" encoding="utf-8"?>
<Properties xmlns="http://schemas.openxmlformats.org/officeDocument/2006/custom-properties" xmlns:vt="http://schemas.openxmlformats.org/officeDocument/2006/docPropsVTypes"/>
</file>