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svaigpienam, pienam un piena produktiem, liellopu gaļai, cūkgaļai, kazu, aitu un trušu gaļai un tās produktiem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25.03.2025. noteikumu Nr. 191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Prasības dzīvnieku turēšanai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Dzīvniekus nodrošina ar pilnvērtīgu, vecumam, sugai un produktivitātes virzienam atbilstošu barību. Kontroli veic dienests saskaņā ar šo noteikumu </w:t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rtl w:val="0"/>
        </w:rPr>
        <w:t xml:space="preserve"> punkta prasībām, ja produktu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 nodaļā minēto shēmas norādi.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Prasības svaigpienam, pienam un piena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Svaigpiena kvalitātes kontroli veic operators vismaz reizi mēnesī. Svaigpiens atbilst šādām prasībām: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govs svaigpiena sasalšanas temperatūra nepārsniedz –0,520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kazas svaigpiena sasalšanas temperatūra nepārsniedz –0,540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govs svaigpiena skābums ir 15 līdz 18 °T;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kazas svaigpiena skābums ir 14 līdz 18 °T.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Piena pārstrādes procesā ražotu produktu (turpmāk – piena produkti) sastāvā aizliegts izmantot augu izcelsmes eļļas un taukus, daļēji vai pilnīgi aizstājot piena taukus piena produktos. Operators produkta ražošanas procesu un tajā izmantotās izejvielas norāda tehniskajā specifikācijā.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Siera ražošanā aizliegts izmantot nitrātus (NaNO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vai KNO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), lai nomāktu gāzes radošo mikroorganismu attīstību.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Pienu un piena produktus novērtē sensori atbilstoši standartam LVS ISO 22935-3:2024 "Piens un piena produkti. Sensorā analīze. 3.daļa: Produkta sensoro īpašību atbilstības specifikācijai novērtēšana ar punktu metodi". Vērtē šādus rādītājus: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ārējo izskatu (tajā skaitā ūdens dispersijas pakāpi sviestam pēc LVS 356:2002);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konsistenci;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garšu un smaržu;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izskatu griezumā – sieram.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Piena un piena produktu laboratoriskos izmeklējumus, lai noteiktu atbilstību nekaitīguma kritērijiem atbilstoši Komisijas 2005. gada 15. novembra Regulas (EK) Nr. 2073/2005 par pārtikas produktu mikrobioloģiskajiem kritērijiem (turpmāk – regula Nr. 2073/2005) I 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Prasības liellopu, cūku, kazu, aitu un trušu liemeņiem, sadalītajai gaļai un subproduktiem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Liellopu, kazu, aitu, cūku un trušu pārvadāšanas ilgums līdz kautuvei nepārsniedz sešas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Liemeņus un attiecīgo dzīvnieku subproduktus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 nodaļā minēto norādi, ja dzīvnieki kaušanas brīdī nav vecāki par: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30 mēnešiem – liellopi;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trim mēnešiem – truši.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Liellopu liemeni un sadalīto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 nodaļā minēto norādi, ja liemenis saskaņā ar normatīvajiem aktiem par dzīvnieku liemeņu klasifikāciju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 pēc uzbūves jeb muskuļaudu novērtējuma – E, U, R vai O klasei;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 pēc taukaudu slāņa pakāpes – 1.–3. klasei.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Cūkas liemeni un sadalītu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 nodaļā minēto norādi, ja saskaņā ar normatīvajiem aktiem par dzīvnieku liemeņu klasifikāciju cūka pēc muskuļaudu daudzuma atbilst S vai E klasei vai operators ir norādījis tās atbilstību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nobarojamā cūka (kaušanas vecums pieci līdz septiņi mēneši) un dzīvnieka kārta. Kautuves īpašnieks vai viņa pilnvarotā persona (turpmāk – kautuves pārstāvis) to norāda pavaddokumentā dzīvnieku pārvietošanai uz kautuvi,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dzīvnieka kautsvars ir 70–92 kg. Kautuves pārstāvis to norāda informācijā par kautuvē nokauto lauksaimniecības dzīvnieku,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vīriešu kārtas dzīvniekiem nav veikta kastrācija, izmantojot imunovakcināciju – kastrāciju ar veterinārajām zālēm, kas satur vielas ar hormonālu iedarbību. Kautuves pārstāvis to norāda pavaddokumentā dzīvnieku pārvietošanai uz kautuvi, izmantojot elektroniskās paziņošanas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Liemeni un sadalītu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III nodaļā minēto norādi, ja dzīvnieks audzēts vienā Eiropas Savienības dalībvalstī vai reģionā, bet kauts un sadalīts citā Eiropas Savienības dalībvalstī vai reģionā un dzīvnieka liemenis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šā pielikuma 9.1. un 9.2. apakšpunktā minētajām prasībām – liellops;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S vai E klasei pēc muskuļaudu daudzuma saskaņā ar normatīvajiem aktiem par dzīvnieku liemeņu klasifikāciju – cūka.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Liemeņu marķēšanā izmanto zīmogu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pielikumā minēto norādi.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Pirms realizācijas no kautuves liemeņu dziļajā muskulatūrā pH līmenis ir 5,4–5,8.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Liellopu liemeņus nav atļauts apstrādāt ar pienskābi.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Subprodukti iegūti no dzīvniekiem, kas atbilst šā pielikuma III</w:t>
      </w:r>
      <w:r w:rsidR="00000000" w:rsidRPr="00000000" w:rsidDel="00000000">
        <w:rPr>
          <w:vertAlign w:val="superscript"/>
          <w:rtl w:val="0"/>
        </w:rPr>
        <w:t xml:space="preserve"> </w:t>
      </w:r>
      <w:r w:rsidR="00000000" w:rsidRPr="00000000" w:rsidDel="00000000">
        <w:rPr>
          <w:rtl w:val="0"/>
        </w:rPr>
        <w:t xml:space="preserve">nodaļā minētajām prasībām.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Prasības liellopu, cūku, kazu, aitu un trušu maltajai gaļai, gaļas izstrādājumiem un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Liellopu, kazu, aitu, cūku un trušu gaļas produktu un gaļas izstrādājumu ražošanā aizliegts izmantot: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 saldētu un atkausētu gaļu (izņemot gadījumu, ja desu ražošanas tehnoloģiskais process paredz gaļu sasaldēt ražošanas vietā līdz –18 °C);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 mehāniski atdalītu gaļu;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 augu izcelsmes un hidrolizētas dzīvnieku izcelsmes olbaltumvielas;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16.4. tauku, ādu un cīpslu emulsiju;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16.5. pārtikas piedevas uzglabāšanas laika pagarināšanai, ārējā izskata uzlabošanai, garšas un smaržas pastiprināšanai (E620 līdz E640) un vēlamo struktūras īpašību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Maltās gaļas un tādu gaļas izstrādājumu ražošanā, kuri nav paredzēti lietošanai pārtikā bez termiskās apstrādes, nedrīkst izmantot gaļas atgriezumus.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Gaļas sastāvā esošo tauku un saistaudu saturs nepārsniedz Eiropas Parlamenta un Padomes 2011. gada 25. oktobra Regulas (ES) Nr. 1169/2011 par pārtikas produktu informācijas sniegšanu patērētājiem un par grozījumiem Eiropas Parlamenta un Padomes Regulās (EK) Nr. 1924/2006 un (EK) Nr. 1925/2006, un par Komisijas Direktīvas 87/250/EEK, Padomes Direktīvas 90/496/EEK, Komisijas Direktīvas 1999/10/EK, Eiropas Parlamenta un Padomes Direktīvas 2000/13/EK, Komisijas Direktīvu 2002/67/EK un 2008/5/EK un Komisijas Regulas (EK) Nr. 608/2004 atcelšanu (turpmāk – regula Nr. 1169/2011) VII pielikuma B daļas 17. punktā noteikto daudzumu, ko operators reizi gadā nosaka akreditētā laboratorijā, un gaļas produkcijā – desās, konservos, gaļas izstrādājumos – ir vismaz 70 procentu gaļas bez ādas.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Pievienotais sāls saturs 100 g gaļas produktu un to izstrādājumu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Operators organizē darbu (piemēram, izveidojot degustācijas komisiju) tā, lai katrā partijā tiktu novērtētas gaļas produktu organoleptiskās īpašības un to rādītāji atbilst šā pielikuma 1. 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Gaļas produktu organoleptiskie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239"/>
        <w:gridCol w:w="4634"/>
        <w:tblGridChange w:id="0">
          <w:tblGrid>
            <w:gridCol w:w="514"/>
            <w:gridCol w:w="1952"/>
            <w:gridCol w:w="2239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kūpinājumi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 tīra, sausa, bez gaļas un speķa izrāvumiem, produkta masai nepiegulošiem audiem, vienmērīgi nokūpināta no gaiši brūnas līdz brūnai krāsai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 griezumā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muskuļaudi vienmērīga krāsojuma, bez pelēkiem plankumiem, taukaudi baltā krāsā vai ar sārtu nokrāsu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mēreni sāļa, raksturīga izmantotajām izejvielām, ar garšvielu un dūmu aromātu, bez neraksturīgas garšas un smakas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Vārītās desas, tostarp cīsiņi un sardeles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tīra, apvalks nebojāts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sāļa ar izteiktu garšvielu aromātu un garšu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Pusžāvētās, auksti kūpinātās desas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 un sausa, apvalks nebojāts, bez salipumiem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blīva, elastīga, bez redzamiem saistaudiem, speķis vienmērīgi izkliedēts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masas izskats griezumā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 vienmērīgi sajaukta un satur attiecīga lieluma sasmalcinātus speķa gabaliņus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tauki balti vai ar sārtu nokrāsu, aromātiskā kūpinājuma un garšvielu smarža, garša mēreni sāļa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Mitruma saturs gatavajā produktā nepārsniedz: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vārītajās desās, tostarp cīsiņos un sardelēs, – 70 %;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pusžāvētajās desās – 65 %;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auksti kūpinātajās desās – 30 %;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liellopu un cūkgaļas produktos – 75 %.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Šā pielikuma 21.1., 21.2. un 21.3. apakšpunktā minētie produkti ir tikai dabīgā vai ēdamā kolagēna apvalkā vai bez apvalka. Ēdamais kolagēna apvalks nedrīkst saturēt pārtikas piedevas.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Gaļas produktu kūpināšanas procesā izmanto tikai lapu koku koksni, neizmantojot kūpināšanas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Kūpināto gaļu un kūpinātās gaļas produktus operators vismaz reizi gadā nodod pārbaudei akreditētā testēšanas laboratorijā. Pārbaudāmie rādītāji un to norma ir šāda: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24.1. kūpinātajā gaļā un kūpinātās gaļas produktos benzo(a)pirēna daudzums nepārsniedz 2 μg/kg, kā arī benzo(a)pirēna, benz(a)antracēna, benzo(b)fluorantēna un krizēna kopējais daudzums (PAO4) nepārsniedz 12 μg/kg;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24.2. tradicionāli kūpinātajā gaļā un kūpinātās gaļas produktos, kas ir kūpināti un paredzēti patēriņam Latvijā, benzo(a)pirēna daudzums nepārsniedz 5,0 μg/kg, kā arī benzo(a)pirēna, benzo(a)antracēna, benzo(b)fluorantēna un krizēna kopējais daudzums nepārsniedz 30,0 μg/kg.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Gaļas produkcijas laboratoriskos izmeklējumus, lai noteiktu atbilstību nekaitīguma kritērijiem atbilstoši regulas Nr. 2073/2005 I 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Gaļas konservus ražo atbilstoši starptautiskajam standartam CAC/RCP 23-1979 "Starptautiskais higiēnas prakses kodekss zema skābes satura un paskābinātiem pārtikas konserviem".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Gaļas konservu kvalitātes pārbaudi veic akreditētā testēšanas laboratorijā ne retāk kā reizi gadā, un to kvalitāte atbilst šā pielikuma 2. 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Sterilizēto gaļas konservu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239"/>
        <w:gridCol w:w="4634"/>
        <w:tblGridChange w:id="0">
          <w:tblGrid>
            <w:gridCol w:w="514"/>
            <w:gridCol w:w="1952"/>
            <w:gridCol w:w="2239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Sterilizēti konservi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neveidojošie mikroorganismi, KVV/g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veidojošie termofilie anaerobie, aerobie un fakultatīvi anaerobie mikroorganismi, KVV/g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Sterilizēto konservu organoleptiskie 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skaidri saskatāmi gaļas gabaliņi, bez nevēlamiem piemaisījumiem, raksturīgs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termiski apstrādātai gaļai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