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25. februārī (prot. Nr. 8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Ārstniecības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78. panta otro daļu un 79. panta 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11. marta noteikumos Nr. 134 "Noteikumi par vienoto veselības nozares elektronisko informācijas sistēmu" (Latvijas Vēstnesis, 2014, 52. nr.; 2015, 248. nr.; 2016, 233. nr.; 2017, 171. nr.; 2018, 42., 101., 142., 251. nr.; 2019, 108. nr.; 2020, 248. nr.; 2021, 48., 243., 248. nr.; 2023, 52., 241. nr.; 2024, 227.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"59. Veselības aprūpes statistiķis un medicīnas statistiķis veselības informācijas sistēmā ir tiesīgs apstrādāt šo noteikumu 7.23. apakšpunktā minētos datus līdz 2029. gada 31. decembrim."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25-TA-92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25-TA-92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