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 februārī (prot. Nr. 5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akciju sabiedrības "Sadales tīkls" un akciju sabiedrības "Augstsprieguma tīkls" sistēmas pakalpojuma tarifu projektu pārskatīšanu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ministrijai kā akciju sabiedrības "Latvenergo" valsts kapitāla daļu turētājai sadarbībā ar Klimata un enerģētikas ministriju nodrošināt,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"Latvenergo" kā akciju sabiedrības "Sadales tīkls" (turpmāk – Sadales tīkls) kapitāla daļu turētāja (100 %) nodrošina, ka Sadales tīkls sagatavo tarifu projektu ar regulatīvo periodu no 2023. gada 1. jūlija līdz 2027.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Sadales tīkls izvērtē elektroenerģijas iegādes alternatīvas (biržai piesaistīta elektroenerģijas cena, fiksēta elektroenerģijas cena, kombinēts risinājums), izvēloties tautsaimniecībai saimnieciski izdevīgāko risinājumu.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kā akciju sabiedrības "Augstsprieguma tīkls" (turpmāk – Augstsprieguma tīkls) valsts kapitāla daļu turētājai sadarbībā ar Klimata un enerģētikas ministriju nodrošināt,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Augstsprieguma tīkls sagatavo grozījumus tā izstrādātajā tarifu projektā, nosakot, ka regulatīvais periods ir no 2023. gada 1. jūlija līdz 2025. gada 31. decembrim un grozījumu spēkā stāšanās datums ir 2023. gada 1. jūlijs;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Augstsprieguma tīkls, sagatavojot šā rīkojuma </w:t>
      </w:r>
      <w:r w:rsidR="00000000" w:rsidRPr="00000000" w:rsidDel="00000000">
        <w:rPr>
          <w:rtl w:val="0"/>
        </w:rPr>
        <w:t xml:space="preserve">2.1.</w:t>
      </w:r>
      <w:r w:rsidR="00000000" w:rsidRPr="00000000" w:rsidDel="00000000">
        <w:rPr>
          <w:rtl w:val="0"/>
        </w:rPr>
        <w:t xml:space="preserve"> apakšpunktā minētos grozījumus, tarifu aprēķinos iekļauj pārslodzes maksas ieņēmumus, tai skaitā plānotos ieņēmumus;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Augstsprieguma tīkls izvērtē aizsardzības (jaudas rezerves) palīgpakalpojuma nosacījumus, lai, nemazinot elektroenerģijas sistēmas drošumu, pēc iespējas samazinātu pakalpojuma nodrošināšanas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Augstsprieguma tīkls izvērtē elektroenerģijas iegādes alternatīvas (biržai piesaistīta elektroenerģijas cena, fiksēta elektroenerģijas cena, kombinēts risinājums), izvēloties tautsaimniecībai saimnieciski izdevīgāko risinājumu.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23-TA-192</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23-TA-192</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rīkojuma_projekts_23-TA-192.docx</dc:title>
</cp:coreProperties>
</file>

<file path=docProps/custom.xml><?xml version="1.0" encoding="utf-8"?>
<Properties xmlns="http://schemas.openxmlformats.org/officeDocument/2006/custom-properties" xmlns:vt="http://schemas.openxmlformats.org/officeDocument/2006/docPropsVTypes"/>
</file>