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(Latvijas Vēstnesis, 2016, 58. nr.; 2020, 75., 146. nr.; 2021, 182. nr.; 2023, 40., 224.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Finansējuma saņēmējs projekta dzīves cikla laikā katru gadu sagatavo pārskatu par papildinošas saimnieciskās darbības un parasto papildpakalpojumu apjomu un nodrošina šajā punktā minēto pārskatu un aprēķinus pamatojošo dokumentu pieejamību papildinošas saimnieciskās darbības un parasto papildpakalpojumu uzraudzībai. Ja finansējuma saņēmējs konstatē, ka ir pārsniegts šo noteikumu 48. punktā minētais 20 procentu ierobežojums no infrastruktūras, kurā netiek veikta saimnieciskā darbība, kopējās gada jaudas (platības, laika vai finanšu izteiksmē), vai infrastruktūras daļas, kurā netiek veikta saimnieciskā darbība, gada jaudas (platības, laika vai finanšu izteiksmē), kā arī ja infrastruktūra vai tās daļa, kurā veiktas investīcijas, tiek izmantota citai saimnieciskai darbībai, kas nav uzskatāma par papildinošu saimniecisku darbību vai parasto papildpakalpojumu, tas saskaņā ar civiltiesisko līgumu vai vienošanos par projekta īstenošanu noteiktajā termiņā iesniedz sadarbības iestādē ziņojumu par konstatēto šo noteikumu 48. punktā minēto nosacījumu pārkāpumu. Sadarbības iestādei ir tiesības finansējuma saņēmējam pieprasīt papildinošās saimnieciskās darbības un parasto papildpakalpojumu pārskatus projekta dzīves cikla laikā, tai skaitā gadījumos, kad saņemta informācija par papildinošās saimnieciskās darbības un parasto papildpakalpojumu nosacījumu pārkāpumu no finansējuma saņēmēja, kompetentajām iestādēm vai no trešajām personām."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25-TA-283</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25-TA-283</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noteikumu_(grozījumu)_projekts_25-TA-283.docx</dc:title>
</cp:coreProperties>
</file>

<file path=docProps/custom.xml><?xml version="1.0" encoding="utf-8"?>
<Properties xmlns="http://schemas.openxmlformats.org/officeDocument/2006/custom-properties" xmlns:vt="http://schemas.openxmlformats.org/officeDocument/2006/docPropsVTypes"/>
</file>