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aprīlī (prot. Nr. 18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20. septembra noteikumos Nr. 714 "Noteikumi par mobilizācijas plāniem"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Mobilizācijas likuma</w:t>
      </w:r>
      <w:r w:rsidR="00000000" w:rsidRPr="00000000" w:rsidDel="00000000">
        <w:rPr>
          <w:rStyle w:val="paragraph"/>
          <w:i w:val="1"/>
          <w:rtl w:val="0"/>
        </w:rPr>
        <w:t xml:space="preserve"> 9.panta 4.punktu un 10.panta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20. septembra noteikumos Nr. 714 "Noteikumi par mobilizācijas plāniem" (Latvijas Vēstnesis, 2005, 152. nr.; 2012, 70. nr.; 2014, 80.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mobilizācijas plānu dokumentu veidlapu paraugus (1., 2., 3., 4., 6. un 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tautsaimniecības mobilizācijas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Tautsaimniecības mobilizācijas plāns ietver valsts materiālo rezervju un tautsaimniecības objektu sagatavošanu un izmantošanu izņēmuma stāvokļa vai kara laikā. Tautsaimniecības objektu sagatavošanas un izmantošanas nodrošinājuma apraksts izņēmuma stāvokļa vai kara laikā var būt ietverts nozares darbības nepārtrauktības un noturības plānā."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9.1.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9.2.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sadarbībā ar pārējām ministrijām un pašvaldībām izstrādā un iesniedz apstiprināšanai Ministru kabinetā tautsaimniecības mobilizācijas plānu un katru gadu līdz 1.maijam to izvērtē un aktualizē;".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piedalās tautsaimniecības mobilizācijas plāna izstrādē."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piedalās tautsaimniecības mobilizācijas plāna un Valsts civilās aizsardzības plāna sadaļas "Mobilizējamie civilās aizsardzības formējumi" izstrādē;".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Nacionālo bruņoto spēku mobilizācijas plānu precizē reizi divos gados triju mēnešu laikā pēc Valsts aizsardzības operacionālā plāna apstiprināšanas."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Tautsaimniecības mobilizācijas plānu pirmo reizi aktualizē līdz 2027. gada 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5.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25-TA-2219</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25-TA-2219</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noteikumu_(grozījumu)_projekts_25-TA-2219.docx</dc:title>
</cp:coreProperties>
</file>

<file path=docProps/custom.xml><?xml version="1.0" encoding="utf-8"?>
<Properties xmlns="http://schemas.openxmlformats.org/officeDocument/2006/custom-properties" xmlns:vt="http://schemas.openxmlformats.org/officeDocument/2006/docPropsVTypes"/>
</file>