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7.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186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2005.gada 20.septembra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714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Tautsaimniecības mobilizācijas plāns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Plāns satur informāciju par tautsaimniecības nozarēm vai politikas jomām, uz kurām attiecas Mobilizācijas likumā noteiktie pasākumi valsts apdraudējuma gadījumā.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Plānā ietver šādu informāciju (aizpilda par katru pasākumu):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tautsaimniecības nozare vai politikas 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pasākums (pilnvarojums Ministru kabinetam) iedzīvotāju normētai apgādei vai nodrošināšanai un attiecīgā Mobilizācijas likuma 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2.2.1. nepieciešamais pakalpojums vai prece, pakalpojuma vai preces specifiskās grupas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2.2.2. sagatavojamie tautsaimniecības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(apzināti tautsaimniecības objekti (norāda, kā tie apzināti, piemēram, ka tautsaimniecības objekti ir iekļauti D kategorijas kritiskajā infrastruktūrā))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2.2.3. nepieciešamie resursi tautsaimniecības objektu darbības nodrošināšanai (ir/nav, risinājumi,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2.2.4. faktiskais valsts materiālo rezervju nodrošinājums (materiālo resursu veids,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(norāda, vai materiālās rezerves ir vai to nav, kā arī to, vai ir materiālās rezerves ārpus valsts materiālo rezervju sistēmas, piemēram, noslēgti atlikto piegāžu līgumi, sagatavoti mobilizācijas pieprasījumi)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2.2.5. nepieciešamais (plānotais) finansējums valsts materiālajām rezervēm (materiālo resursu veids,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(summa </w:t>
      </w:r>
      <w:r w:rsidR="00000000" w:rsidRPr="00000000" w:rsidDel="00000000">
        <w:rPr>
          <w:sz w:val="22"/>
          <w:i w:val="1"/>
          <w:rtl w:val="0"/>
        </w:rPr>
        <w:t xml:space="preserve">euro</w:t>
      </w:r>
      <w:r w:rsidR="00000000" w:rsidRPr="00000000" w:rsidDel="00000000">
        <w:rPr>
          <w:sz w:val="22"/>
          <w:rtl w:val="0"/>
        </w:rPr>
        <w:t xml:space="preserve">, budžeta programmas nosaukums)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2.2.6. par pasākuma izpildi atbildīgā valsts un pašvaldību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2.2.7. par pasākuma izpildi līdzatbildīgās 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2.2.8. ārējais normatīvais akts (noteikumi) pasākuma izpildes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informācija par tautsaimniecības nozares darbības nepārtrauktības un noturības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(norāda, vai plānā ir iekļauts pasākuma vai pasākuma izpildei nepieciešamo tautsaimniecības objektu sagatavošanas un izmantošanas nodrošinājuma apraksts, kā arī datumu, kad tautsaimniecības nozares darbības nepārtrauktības un noturības plānu apstiprinājis attiecīgais Ministru kabineta loceklis saskaņā ar Nacionālās drošības likuma 23.</w:t>
      </w:r>
      <w:r w:rsidR="00000000" w:rsidRPr="00000000" w:rsidDel="00000000">
        <w:rPr>
          <w:sz w:val="22"/>
          <w:vertAlign w:val="superscript"/>
          <w:rtl w:val="0"/>
        </w:rPr>
        <w:t xml:space="preserve">2</w:t>
      </w:r>
      <w:r w:rsidR="00000000" w:rsidRPr="00000000" w:rsidDel="00000000">
        <w:rPr>
          <w:sz w:val="22"/>
          <w:rtl w:val="0"/>
        </w:rPr>
        <w:t xml:space="preserve"> panta pirmās daļas 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papildu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Piezīme. Tautsaimniecības mobilizācijas plānam var būt pielikumi (tabulas, shēmas, grafiki, kartes), kas raksturo mobilizācijas resursu nepieciešamību, mobilizācijas kārtību (mobilizācijas plānoto norisi, tās vadību un nodrošinājumu) mobilizācijas izsludināšanas gadījumā."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25-TA-2219</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25-TA-2219</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noteikumu_(grozījumu)_projekts_p_25-TA-2219.docx</dc:title>
</cp:coreProperties>
</file>

<file path=docProps/custom.xml><?xml version="1.0" encoding="utf-8"?>
<Properties xmlns="http://schemas.openxmlformats.org/officeDocument/2006/custom-properties" xmlns:vt="http://schemas.openxmlformats.org/officeDocument/2006/docPropsVTypes"/>
</file>