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Amatpersonu mēnešalgas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13.09.2022. noteikumu Nr. 575 redakcijā; </w:t>
      </w:r>
      <w:r w:rsidR="00000000" w:rsidRPr="00000000" w:rsidDel="00000000">
        <w:rPr>
          <w:rStyle w:val="paragraph"/>
          <w:i w:val="1"/>
          <w:rtl w:val="0"/>
        </w:rPr>
        <w:t xml:space="preserve">grozījumi attiecībā uz pielikumā noteiktajām minimālajām mēnešalgām stājas spēkā 01.01.2023., sk. noteikumu 12.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3</w:t>
      </w:r>
      <w:r w:rsidR="00000000" w:rsidRPr="00000000" w:rsidDel="00000000">
        <w:rPr>
          <w:rStyle w:val="paragraph"/>
          <w:i w:val="1"/>
          <w:rtl w:val="0"/>
        </w:rPr>
        <w:t xml:space="preserve"> punktu)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2622"/>
        <w:gridCol w:w="2622"/>
        <w:gridCol w:w="3293"/>
        <w:tblGridChange w:id="0">
          <w:tblGrid>
            <w:gridCol w:w="898"/>
            <w:gridCol w:w="2622"/>
            <w:gridCol w:w="2622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mēnešalga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mēnešalga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23-TA-531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23-TA-531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noteikumu_konsolidētā_versija_p1_23-TA-531.docx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