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49.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2023. gadam un budžeta ietvaru 2023., 2024. un 2025. gadam" 65. pantu, atbalstīt apropriācijas pārdali 33 481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17.00.00 "Finansējums Ukrainas civiliedzīvotāju atbalsta likumā noteikto pasākumu īstenošanai" uz Iekšlietu ministrijas budžeta apakšprogrammu 02.03.00 "Vienotās sakaru un informācijas sistēmas uzturēšana un vadība", lai segtu izdevumus, kas saistīti ar Ukrainas civiliedzīvotāju atbalsta sniegšanai nepieciešamās informācijas reģistra (UCASNIR) pilnveides darbiem.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23-TA-3000</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23-TA-3000</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rīkojuma_projekts_23-TA-3000.docx</dc:title>
</cp:coreProperties>
</file>

<file path=docProps/custom.xml><?xml version="1.0" encoding="utf-8"?>
<Properties xmlns="http://schemas.openxmlformats.org/officeDocument/2006/custom-properties" xmlns:vt="http://schemas.openxmlformats.org/officeDocument/2006/docPropsVTypes"/>
</file>