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226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12. aprīlī (prot. Nr. 20 17.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2000. gada 14. novembra noteikumos Nr. 396 "Noteikumi par īpaši aizsargājamo sugu un ierobežoti izmantojamo īpaši aizsargājamo sugu sarakstu"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</w:t>
      </w:r>
      <w:r w:rsidR="00000000" w:rsidRPr="00000000" w:rsidDel="00000000">
        <w:rPr>
          <w:rStyle w:val="paragraph"/>
          <w:i w:val="1"/>
          <w:rtl w:val="0"/>
        </w:rPr>
        <w:t xml:space="preserve"> Sugu un biotopu aizsardzības likuma</w:t>
      </w:r>
      <w:r w:rsidR="00000000" w:rsidRPr="00000000" w:rsidDel="00000000">
        <w:rPr>
          <w:rStyle w:val="paragraph"/>
          <w:i w:val="1"/>
          <w:rtl w:val="0"/>
        </w:rPr>
        <w:t xml:space="preserve"> 4.panta 1.punktu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2000. gada 14. novembra noteikumos Nr. 396 "Noteikumi par īpaši aizsargājamo sugu un ierobežoti izmantojamo īpaši aizsargājamo sugu sarakstu" (Latvijas Vēstnesis, 2000, 413./417. nr.; 2004, 120.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aizsardzības un reģionālās attīstības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T. Plešs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21-TA-426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21-TA-426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noteikumu_(grozījumu)_projekts_21-TA-426.docx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