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13. pantu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 </w:t>
      </w:r>
      <w:r w:rsidR="00000000" w:rsidRPr="00000000" w:rsidDel="00000000">
        <w:rPr>
          <w:rStyle w:val="paragraph"/>
          <w:i w:val="1"/>
          <w:rtl w:val="0"/>
        </w:rPr>
        <w:t xml:space="preserve">Noziedzīgi iegūtu līdzekļu legalizācijas un terorisma un proliferācijas finansēšanas novēršanas likuma</w:t>
      </w:r>
      <w:r w:rsidR="00000000" w:rsidRPr="00000000" w:rsidDel="00000000">
        <w:rPr>
          <w:rStyle w:val="paragraph"/>
          <w:i w:val="1"/>
          <w:rtl w:val="0"/>
        </w:rPr>
        <w:t xml:space="preserve"> 61.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2007. gada 3. aprīļa noteikumos Nr. 233 "Finanšu sektora attīstības padomes nolikums" (Latvijas Vēstnesis, 2007, 59. nr.; 2011, 175. nr.; 2013, 58. nr.; 2015, 134. nr.; 2017, 180. nr.; 2019, 32. nr.; 2022, 101.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"5.15. Latvijas Tirdzniecības un rūpniecības kameras valdes priekšsēdētājs."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26-TA-915</w:t>
    </w:r>
    <w:r>
      <w:br/>
    </w:r>
    <w:r w:rsidR="00000000" w:rsidRPr="00000000" w:rsidDel="00000000">
      <w:rPr>
        <w:rtl w:val="0"/>
      </w:rPr>
      <w:t xml:space="preserve">Izdrukāts 04.08.2026. 15.41 - 1.0.VK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26-TA-915</w:t>
    </w:r>
    <w:r>
      <w:br/>
    </w:r>
    <w:r w:rsidR="00000000" w:rsidRPr="00000000" w:rsidDel="00000000">
      <w:rPr>
        <w:rtl w:val="0"/>
      </w:rPr>
      <w:t xml:space="preserve">Izdrukāts 04.08.2026. 15.41 - 1.0.VK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