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februārī (prot. Nr. 9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"Doņi" Skultes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9. panta pirmo daļu atļaut Satiksmes ministrijai pirkt nekustamā īpašuma "Doņi" (nekustamā īpašuma kadastra Nr. 6676 015 0118) daļu – zemes vienību (zemes vienības kadastra apzīmējums 6676 015 0403) 0,7109 ha platībā un zemes vienību (zemes vienības kadastra apzīmējums 6676 015 0404) 2,4814 ha platībā – Skultes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2024. gada 18. oktobrī noslēgtajā līgumā Nr. 23-EU-TC-RBGP Part IX C (CEF 10)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25-TA-2996</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25-TA-2996</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rīkojuma_projekts_25-TA-2996.docx</dc:title>
</cp:coreProperties>
</file>

<file path=docProps/custom.xml><?xml version="1.0" encoding="utf-8"?>
<Properties xmlns="http://schemas.openxmlformats.org/officeDocument/2006/custom-properties" xmlns:vt="http://schemas.openxmlformats.org/officeDocument/2006/docPropsVTypes"/>
</file>