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662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27. septembrī (prot. Nr. 49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Ekonomikas ministrijai finansējumu, kas nepārsniedz 151 095 088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atbilstoši </w:t>
      </w:r>
      <w:r w:rsidR="00000000" w:rsidRPr="00000000" w:rsidDel="00000000">
        <w:rPr>
          <w:rtl w:val="0"/>
        </w:rPr>
        <w:t xml:space="preserve">Energoresursu cenu ārkārtēja pieauguma samazinājuma pasākumu likumam</w:t>
      </w:r>
      <w:r w:rsidR="00000000" w:rsidRPr="00000000" w:rsidDel="00000000">
        <w:rPr>
          <w:rtl w:val="0"/>
        </w:rPr>
        <w:t xml:space="preserve"> Būvniecības valsts kontroles birojs īstenotu kompensējošos pasākumus maksas samazinājumam par patērēto dabasgāzi, centralizētās siltumapgādes pakalpojuma maksas samazinājumam un elektroenerģijas sistēmas pakalpojuma maksas samazinājumam 2022. 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 atbilstoši faktiski nepieciešamajam apmēram.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22-TA-2574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22-TA-2574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