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7. janvārī (prot. Nr. 1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12. septembra noteikumos Nr. 531 "Eiropas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12. septembra noteikumos Nr. 531 "Eiropas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 (Latvijas Vēstnesis, 2023, 180.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projekta vadības un īstenošanas personāla izmaksas, izņemot virsstundas, šo noteikumu 17.12. apakšpunktā minētās atbalstāmās darbības īstenošanai līdz dienai, kad apstiprināta atbildīgās iestādes izstrādātā un ar vadošo iestādi saskaņotā vienkāršoto izmaksu metodika personāla izmaksām (turpmāk – personāla izmaksu metodika), attiecināmas kā faktiskās izmaksas saskaņā ar Valsts un pašvaldību institūciju amatpersonu un darbinieku atlīdzības likumu. Ja personāla iesaiste projektā ir nodrošināta saskaņā ar daļlaika izmaksu attiecināmības principu, attiecināma ir ne mazāka kā 30 procentu noslodze;".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19.1.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vertAlign w:val="superscript"/>
          <w:rtl w:val="0"/>
        </w:rPr>
        <w:t xml:space="preserve">1</w:t>
      </w:r>
      <w:r w:rsidR="00000000" w:rsidRPr="00000000" w:rsidDel="00000000">
        <w:rPr>
          <w:rtl w:val="0"/>
        </w:rPr>
        <w:t xml:space="preserve"> līdz dienai, kad apstiprināta personāla izmaksu metodika, finansējuma saņēmēja projekta īstenošanas un vadības personālam var plānot veselības apdrošināšanu. Ja personāls ir nodarbināts normālu darba laiku, veselības apdrošināšanas izmaksas ir attiecināmas 100 procentu apmērā. Ja personāls ir nodarbināts nepilnu darba laiku, veselības apdrošināšanas izmaksas nosakāmas atbilstoši nepilnā darba laika noslodzei. Ja personāla atlīdzībai piemēro daļlaika izmaksu attiecināmības principu, veselības apdrošināšanas izmaksas nosakāmas atbilstoši daļlaika noslodzei. Veselības apdrošināšanas izmaksas ir attiecināmas tikai laikposmā, kad personāls ir nodarbināts projektā;".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Šo noteikumu 18.2. apakšpunktā minētās netiešās attiecināmās izmaksas plāno kā vienu izmaksu pozīciju, piemērojot netiešo izmaksu vienoto likmi 15 % apmērā no šo noteikumu 19.1. apakšpunktā minētajām tiešajām attiecināmajām personāla izmaksām, kas radušās uz darba līguma pamata vai ar rīkojumu ieceļot pretendentu valsts civildienesta ierēdņa amatā, saskaņā ar regulas Nr. 2021/1060 54. panta "b"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24.5.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"24.5. ir atbildīgs par dubultā finansējuma un interešu konflikta riska novēršanu un demarkācijas nodrošināšanu ar citiem līdzīgiem vai saistītiem projektiem un nodrošina, lai pasākuma ietvaros plānotais atbalsts nepārklātos ar citiem valsts un ārvalstu finanšu atbalsta instrumentiem saskaņā ar Eiropas Parlamenta un Padomes 2024. gada 23. septembra Regulas (ES, Euratom) 2024/2509 par finanšu noteikumiem, ko piemēro Savienības vispārējam budžetam (pārstrādāta redakcija), 61. panta prasībām. Par šo saistību ievērošanu finansējuma saņēmējs un sadarbības partneri paraksta attiecīgu apliecinājumu."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vietā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24-TA-3182</w:t>
    </w:r>
    <w:r>
      <w:br/>
    </w:r>
    <w:r w:rsidR="00000000" w:rsidRPr="00000000" w:rsidDel="00000000">
      <w:rPr>
        <w:rtl w:val="0"/>
      </w:rPr>
      <w:t xml:space="preserve">Izdrukāts 29.07.2026. 23.04 - 1.0.VK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24-TA-3182</w:t>
    </w:r>
    <w:r>
      <w:br/>
    </w:r>
    <w:r w:rsidR="00000000" w:rsidRPr="00000000" w:rsidDel="00000000">
      <w:rPr>
        <w:rtl w:val="0"/>
      </w:rPr>
      <w:t xml:space="preserve">Izdrukāts 29.07.2026. 23.04 - 1.0.VK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noteikumu_(grozījumu)_projekts_24-TA-3182.docx</dc:title>
</cp:coreProperties>
</file>

<file path=docProps/custom.xml><?xml version="1.0" encoding="utf-8"?>
<Properties xmlns="http://schemas.openxmlformats.org/officeDocument/2006/custom-properties" xmlns:vt="http://schemas.openxmlformats.org/officeDocument/2006/docPropsVTypes"/>
</file>