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2008. gada 11. marta noteikumos Nr. 173 "Valsts pamatbudžeta valsts autoceļu fonda programmai piešķirto līdzekļu izlietošanas kārtība""</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izveidot darba grupu, lai izvērtētu esošo pilsētu tranzīta ielu atbilstību kritērijiem, tostarp vērtējot transportlīdzekļu satiksmes intensitāti, iesaistot tajā biedrību "Latvijas Pašvaldību savienība" un biedrību "Latvijas lielo pilsētu asociācija", kā arī pašvaldību pārstāvjus, un secinājumus ietvert Latvijas Pašvaldību savienības un Satiksmes ministrijas sarunu protokolā, ko līdz 2026.gada 15.septembrim atbilstoši </w:t>
      </w:r>
      <w:r w:rsidR="00000000" w:rsidRPr="00000000" w:rsidDel="00000000">
        <w:rPr>
          <w:rtl w:val="0"/>
        </w:rPr>
        <w:t xml:space="preserve">Ministru kabineta 2023. gada 19. decembra noteikumu Nr. 769 “Kārtība, kādā Ministru kabinets saskaņo ar pašvaldībām jautājumus, kas skar visu pašvaldību intereses” </w:t>
      </w:r>
      <w:r w:rsidR="00000000" w:rsidRPr="00000000" w:rsidDel="00000000">
        <w:rPr>
          <w:rtl w:val="0"/>
        </w:rPr>
        <w:t xml:space="preserve"> 5.punktam iesniegt Finanšu ministrijā, par to informējot Valsts kanceleju.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24-TA-1906</w:t>
    </w:r>
    <w:r>
      <w:br/>
    </w:r>
    <w:r w:rsidR="00000000" w:rsidRPr="00000000" w:rsidDel="00000000">
      <w:rPr>
        <w:rtl w:val="0"/>
      </w:rPr>
      <w:t xml:space="preserve">Izdrukāts 29.07.2026. 22.09 - 2.0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mk_sēdes_protokollēmuma_projekts_24-TA-1906.docx</dc:title>
</cp:coreProperties>
</file>

<file path=docProps/custom.xml><?xml version="1.0" encoding="utf-8"?>
<Properties xmlns="http://schemas.openxmlformats.org/officeDocument/2006/custom-properties" xmlns:vt="http://schemas.openxmlformats.org/officeDocument/2006/docPropsVTypes"/>
</file>