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28. janvārī (prot. Nr. 4 11.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20. septembra noteikumos Nr. 582 "Eiropas Savienības Atveseļošanas un noturības mehānisma plāna 3.1. reformu un investīciju virzienu "Reģionālā politika" 3.1.2.1.i. investīcijas "Publisko pakalpojumu un nodarbinātības pieejamības veicināšanas pasākumi cilvēkiem ar funkcionāliem traucējumiem" pirmās kārtas "Valsts un pašvaldību ēku vides pieejamības nodrošināšanas pasākumi"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20. septembra noteikumos Nr. 582 "Eiropas Savienības Atveseļošanas un noturības mehānisma plāna 3.1. reformu un investīciju virzienu "Reģionālā politika" 3.1.2.1.i. investīcijas "Publisko pakalpojumu un nodarbinātības pieejamības veicināšanas pasākumi cilvēkiem ar funkcionāliem traucējumiem" pirmās kārtas "Valsts un pašvaldību ēku vides pieejamības nodrošināšanas pasākumi" īstenošanas noteikumi" (Latvijas Vēstnesis, 2022, 185., 200A. nr.; 2023, 131., 227. nr.; 2024, 52., 89., 168., 202.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Pasākuma Atveseļošanas fonda finansējums ir 9 685 000  </w:t>
      </w:r>
      <w:r w:rsidR="00000000" w:rsidRPr="00000000" w:rsidDel="00000000">
        <w:rPr>
          <w:i w:val="1"/>
          <w:rtl w:val="0"/>
        </w:rPr>
        <w:t xml:space="preserve">euro</w:t>
      </w:r>
      <w:r w:rsidR="00000000" w:rsidRPr="00000000" w:rsidDel="00000000">
        <w:rPr>
          <w:rtl w:val="0"/>
        </w:rPr>
        <w:t xml:space="preserve">. Papildu finansējumu veido valsts budžeta finansējums pievienotās vērtības nodokļa segšanai – indikatīvi 357 800 </w:t>
      </w:r>
      <w:r w:rsidR="00000000" w:rsidRPr="00000000" w:rsidDel="00000000">
        <w:rPr>
          <w:i w:val="1"/>
          <w:rtl w:val="0"/>
        </w:rPr>
        <w:t xml:space="preserve">euro,</w:t>
      </w:r>
      <w:r w:rsidR="00000000" w:rsidRPr="00000000" w:rsidDel="00000000">
        <w:rPr>
          <w:rtl w:val="0"/>
        </w:rPr>
        <w:t xml:space="preserve"> kā arī pašvaldības finansējums vai privātais finansējums pievienotās vērtības nodokļa segšanai vai projekta atbalstāmo darbību īstenošanai, ja projekta izmaksas pārsniedz tam pieejamo Atveseļošanas fonda finansējumu un valsts budžeta finansējumu pievienotās vērtības nodokļa segšanai, bet tās ir tieši saistītas ar šo noteikumu 7.2. un 7.3. apakšpunktā minēto atskaites punktu sasniegšanu, atbilst šo noteikumu 14. punktā minētajām atbalstāmajām darbībām un šo noteikumu 15. punktā minētajām attiecināmo izmaksu pozīcijām."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20.3.1.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"20.3.1. viena mēneša laikā pēc šo noteikumu 20.2. apakšpunktā minētās projekta veidlapas saņemšanas pārliecinās par tās atbilstību šo noteikumu 20.1. apakšpunktā minētajā uzaicinājumā iekļautajai informācijai, šo noteikumu nosacījumiem, projekta veidlapā pieprasītajai informācijai, kā arī pārliecinās, ka uz projekta iesniedzēju nav attiecināmi Eiropas Parlamenta un Padomes 2024. gada 23. septembra Regulas (ES, Euratom) 2024/2509 par finanšu noteikumiem, ko piemēro Savienības vispārējam budžetam (pārstrādāta redakcija),  61. pantā noteiktie izslēgšanas nosacījumi (turpmāk – izslēgšanas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24-TA-2900</w:t>
    </w:r>
    <w:r>
      <w:br/>
    </w:r>
    <w:r w:rsidR="00000000" w:rsidRPr="00000000" w:rsidDel="00000000">
      <w:rPr>
        <w:rtl w:val="0"/>
      </w:rPr>
      <w:t xml:space="preserve">Izdrukāts 29.07.2026. 22.59 - 1.0.VK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24-TA-2900</w:t>
    </w:r>
    <w:r>
      <w:br/>
    </w:r>
    <w:r w:rsidR="00000000" w:rsidRPr="00000000" w:rsidDel="00000000">
      <w:rPr>
        <w:rtl w:val="0"/>
      </w:rPr>
      <w:t xml:space="preserve">Izdrukāts 29.07.2026. 22.59 - 1.0.VK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noteikumu_(grozījumu)_projekts_24-TA-2900.docx</dc:title>
</cp:coreProperties>
</file>

<file path=docProps/custom.xml><?xml version="1.0" encoding="utf-8"?>
<Properties xmlns="http://schemas.openxmlformats.org/officeDocument/2006/custom-properties" xmlns:vt="http://schemas.openxmlformats.org/officeDocument/2006/docPropsVTypes"/>
</file>