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2022. gada 31. maija rīkojumā Nr. 388 "Par prioritārajam pasākumam "Sports – valsts funkciju sporta nozarē izpildes nodrošināšana nemainīgā līmenī, investīcijas valsts nozīmes sporta būvēs" investīcijām valsts nozīmes sporta būvēs paredzētā finansējuma sadalījumu 2022. gadā""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22-TA-3461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