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uztura bagātinātāju reģistrācijas valsts nodevu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rsidR="00000000" w:rsidRPr="00000000" w:rsidDel="00000000">
        <w:rPr>
          <w:rStyle w:val="paragraph"/>
          <w:i w:val="1"/>
          <w:rtl w:val="0"/>
        </w:rPr>
        <w:t xml:space="preserve"> 20.panta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nodevas apmēru par uztura bagātinātāju reģistrāciju un valsts nodevas samaksas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nodevas apmērs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Eiropas Ekonomikas zonas valstīs ražota uztura bagātinātāja reģistrāciju – 125,00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ārpus Eiropas Ekonomikas zonas valstīm ražota uztura bagātinātāja reģistrāciju, ja tas jau iepriekš ir paziņots vai laists tirgū kādā no Eiropas Ekonomikas zonas valstīm un Pārtikas un veterinārajā dienestā tiek iesniegta attiecīgās dalībvalsts kompetentās iestādes izsniegta informācija par to, ka trešajā valstī ražots uztura bagātinātājs ir izplatīts kādā no Eiropas Ekonomikas zonas dalībvalstīm, vai šo faktu apliecinoša izdruka no publiski pieejama šīs dalībvalsts uztura bagātinātāju reģistra, saraksta vai datubāzes, – 210,00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ārpus Eiropas Ekonomikas zonas valstīm ražota uztura bagātinātāja pirmreizēju reģistrāciju – 380,00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katra papildu uztura bagātinātāja ar atšķirīgām organoleptiskajām īpašībām (piemēram, garšu, smaržu) reģistrāciju – 35,00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izmaiņu reģistrēšanu uztura bagātinātāju reģistrā esošam uztura bagātinātājam: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mainot uztura bagātinātāja pagatavojuma veidu, fasējuma vienības lielumu, ieteicamo dienas (diennakts) devu, sastāvdaļas vai sastāvdaļu daudzumu, – 100,00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2.5.1. </w:t>
      </w:r>
      <w:r w:rsidR="00000000" w:rsidRPr="00000000" w:rsidDel="00000000">
        <w:rPr>
          <w:rtl w:val="0"/>
        </w:rPr>
        <w:t xml:space="preserve">apakšpunktā</w:t>
      </w:r>
      <w:r w:rsidR="00000000" w:rsidRPr="00000000" w:rsidDel="00000000">
        <w:rPr>
          <w:rtl w:val="0"/>
        </w:rPr>
        <w:t xml:space="preserve"> minēto izmaiņu izdarīšanas pamats ir grozījumi Eiropas Savienības vai Latvijas Republikas normatīvajā regulējumā, – 50,00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izdarot izmaiņas marķējumā vai citā pievienotajā informācijā (piemēram, lietošanas pamācībā), ja tās nav saistītas ar šo noteikumu </w:t>
      </w:r>
      <w:r w:rsidR="00000000" w:rsidRPr="00000000" w:rsidDel="00000000">
        <w:rPr>
          <w:rtl w:val="0"/>
        </w:rPr>
        <w:t xml:space="preserve">2.5.1.</w:t>
      </w:r>
      <w:r w:rsidR="00000000" w:rsidRPr="00000000" w:rsidDel="00000000">
        <w:rPr>
          <w:rtl w:val="0"/>
        </w:rPr>
        <w:t xml:space="preserve"> apakšpunktā minētajām izmaiņām, – 50,00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02.02.2016. noteikumu Nr. 76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uzņēmums reģistrēšanai nepieciešamos dokumentus iesniedz elektroniski, aizpildot speciālu tiešsaistes formu Pārtikas un veterinārā dienesta tīmekļvietnē www.pvd.gov.lv (e-pakalpojums), un norāda, ka lēmumu par reģistrēšanu vēlas saņemt  elektroniski, valsts nodevu maksā 90 procentu apmērā no šajos noteikumos noteiktajām valsts nodevas likmēm.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Valsts nodevu nemaksā par izmaiņu reģistrēšanu uztura bagātinātāju reģistrā esošam uztura bagātinātājam, ja izmaiņu izdarīšana marķējumā vai citā pievienotajā informācijā ir saistīta ar administratīvo teritoriju pārveidošanu, robežu vai nosaukuma maiņu, kā arī ar ielas nosaukuma vai ēkas numerācijas maiņu Latvijas teritorijā un tā ir vienīgā paziņotā izmaiņa.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nodevu maksā pirms uztura bagātinātāja reģistrācijas.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nodevu maksā vienā no šādiem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un veterinārajā dienestā, izmantojot maksājumu karti;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tādas maksājumu iestādes starpniecību Maksājumu pakalpojumu likuma izpratnē, kurai ir tiesības sniegt maksājumu pakalpojumus (turpmāk – kredītiestāde).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maksājumu veic kredītiestādē, persona maksājuma uzdevuma mērķa laukā norāda attiecīgā uztura bagātinātāja nosaukumu.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02.02.2016. noteikumu Nr. 76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02.02.2016. noteikumiem Nr. 76)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nodevu ieskaita valsts pamatbudžetā.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Noteikumi stājas spēkā 2011.gada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22-TA-1537</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22-TA-1537</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noteikumu_konsolidētā_versija_22-TA-1537.docx</dc:title>
</cp:coreProperties>
</file>

<file path=docProps/custom.xml><?xml version="1.0" encoding="utf-8"?>
<Properties xmlns="http://schemas.openxmlformats.org/officeDocument/2006/custom-properties" xmlns:vt="http://schemas.openxmlformats.org/officeDocument/2006/docPropsVTypes"/>
</file>