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330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4. jūnijā (prot. Nr. 23 38.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2009. gada 27. oktobra noteikumos Nr. 1250 "Noteikumi par valsts nodevu par īpašuma tiesību un ķīlas tiesību nostiprināšanu zemesgrāmatā"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Zemesgrāmatu likuma</w:t>
      </w:r>
      <w:r w:rsidR="00000000" w:rsidRPr="00000000" w:rsidDel="00000000">
        <w:rPr>
          <w:rStyle w:val="paragraph"/>
          <w:i w:val="1"/>
          <w:rtl w:val="0"/>
        </w:rPr>
        <w:t xml:space="preserve"> 106.panta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2009. gada 27. oktobra noteikumos Nr. 1250 "Noteikumi par valsts nodevu par īpašuma tiesību un ķīlas tiesību nostiprināšanu zemesgrāmatā" (Latvijas Vēstnesis, 2009, 175. nr.; 2013, 189., 230. nr.; 2015, 80., 218. nr.; 2016, 129. nr.; 2017, 168. nr.; 2018, 38., 78. nr.; 2020, 242. nr.; 2021, 69., 123A., 155., 243. nr.; 2022, 218A. nr.; 2023, 25.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13.2.5.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"13.2.5. personai, par kuru mantojuma atstājējam Fizisko personu reģistrā ir iekļautas Fizisko personu reģistra likuma 11. panta pirmās daļas 36. punktā noteiktās ziņas, – 0,125 % no mantotā nekustamā īpašuma vērtības."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2024. gada 1. jūlijā.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ministra vietā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24-TA-197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24-TA-197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