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Publiskas personas mantas atsavināšanas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turpmāko likumprojekta virzību ir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24-TA-2003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