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25. oktobrī (prot. Nr. 54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29. marta noteikumos Nr. 188 "Darbības programmas "Izaugsme un nodarbinātība" 5.6.1. specifiskā atbalsta mērķa "Veicināt Rīgas pilsētas revitalizāciju, nodrošinot teritorijas efektīvu sociālekonomisko izmantošanu"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29. marta noteikumos Nr. 188 "Darbības programmas "Izaugsme un nodarbinātība" 5.6.1. specifiskā atbalsta mērķa "Veicināt Rīgas pilsētas revitalizāciju, nodrošinot teritorijas efektīvu sociālekonomisko izmantošanu" īstenošanas noteikumi" (Latvijas Vēstnesis, 2016, 71., 189. nr.; 2017, 23., 149. nr.; 2018, 84., 182. nr.; 2019, 79. nr.; 2020, 11.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Specifiskā atbalsta ietvaros plānotais kopējais finansējums ir ne mazāks kā 68 885 831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granta veidā – 58 552 956 </w:t>
      </w:r>
      <w:r w:rsidR="00000000" w:rsidRPr="00000000" w:rsidDel="00000000">
        <w:rPr>
          <w:i w:val="1"/>
          <w:rtl w:val="0"/>
        </w:rPr>
        <w:t xml:space="preserve">euro</w:t>
      </w:r>
      <w:r w:rsidR="00000000" w:rsidRPr="00000000" w:rsidDel="00000000">
        <w:rPr>
          <w:rtl w:val="0"/>
        </w:rPr>
        <w:t xml:space="preserve">, kā arī nacionālais publiskais finansējums (valsts budžeta finansējums, tai skaitā valsts budžeta dotācija pašvaldībai, un pašvaldības finansējums) un privātais finansējums – ne mazāks kā 10 332 875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32.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Specifiskā atbalsta ietvaros finansē tikai tādas attiecināmās izmaksas, kas tieši saistītas ar projekta ietvaros veiktajām darbībām, ir izmērāmas, samērīgas, pamatotas un atbilst pareizas finanšu vadības principiem."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Projekta ietvaros ir atbalstāma vides prasību integrācija preču, pakalpojumu un būvdarbu iepirkumos (zaļais publiskais iepirkums), lai nodrošinātu atbilstību horizontālā principa "Ilgtspējīga attīstība" projektu iesniegumu vērtēšanas kritērijam. Finansējuma saņēmējs un sadarbības partneris projekta ietvaros iepirkumus veic atbilstoši normatīvajiem aktiem publisko iepirkumu jomā, īstenojot atklātu, pārredzamu, nediskriminējošu un konkurenci nodrošinošu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43.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Finansējuma saņēmējs ar valsts atbalstu komercdarbībai saistīta projekta dokumentāciju glabā visu projekta pārskata periodu (projekta dzīves ciklu), sākot no dienas, kad tam ir piešķirts individuālais valsts atbalsts komercdarbībai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43.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Projektam netiek piemēroti Komisijas regulas Nr. 651/2014 53. panta nosacījumi šādos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1. projekts nav saistīts ar saimnieciskās darbības veikšanu jeb izveidotās infrastruktūras amortizācijas periodā (projekta dzīves cikla laikā) ieņēmumi no saimnieciskās darbības atbalstītajā objektā ir mazāki par 50 procentiem no kultūras jomas pakalpojumu sniedzēja gada budžeta atbalstītajā objektā;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2. projekts ir saistīts ar saimnieciskās darbības veikšanu un nav kvalificējams kā atbalsts komercdarbībai jeb izveidotās infrastruktūras amortizācijas periodā (projekta dzīves cikla laikā) no visiem kultūras jomā sniegto pakalpojumu saņēmējiem atbalstītajā objektā gadā vairāk nekā 85 procenti ir Latvijas iedzīvotāji."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51.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Sadarbības iestāde nodrošina projekta uzraudzību visā projekta pārskata periodā (projekta dzīves cikla laikā), kas noteikts Komisijas regulas Nr. 480/2014 1. pielikumā."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51.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 Pārskata periodā (projekta dzīves cikla laikā) finansējuma saņēmējs atbilstoši komercdarbības atbalsta piemērošanas metodikai kultūras nozares projektiem specifiskā atbalsta ietvaros reizi gadā līdz kārtējā gada 1. jūnijam iesniedz sadarbības iestādē informāciju, kas nepieciešama, lai izvērtētu, vai projekts atbilst šo noteikumu 43.</w:t>
      </w:r>
      <w:r w:rsidR="00000000" w:rsidRPr="00000000" w:rsidDel="00000000">
        <w:rPr>
          <w:vertAlign w:val="superscript"/>
          <w:rtl w:val="0"/>
        </w:rPr>
        <w:t xml:space="preserve">2</w:t>
      </w:r>
      <w:r w:rsidR="00000000" w:rsidRPr="00000000" w:rsidDel="00000000">
        <w:rPr>
          <w:rtl w:val="0"/>
        </w:rPr>
        <w:t xml:space="preserve"> punktā minētajiem nosacījumiem. Lēmums par komercdarbības atbalsta piešķiršanu saskaņā ar Komisijas regulu Nr. 651/2014 ir sadarbības iestādes lēmums par atbilstību komercdarbības atbalsta normām."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Ja tiek konstatēts Komisijas regulas Nr. 1407/2013 pārkāpums, atbalsta saņēmējam ir pienākums atmaksāt atbalsta sniedzējam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Ja ir pārkāptas Komisijas regulas Nr. 651/2014 prasības vai ir konstatēts, ka ar saimniecisko darbību nesaistīts projekts tā ieviešanas gaitā vai projekta pārskata periodā (projekta dzīves cikla laikā) kļūst par projektu, kas saistīts ar saimniecisko darbību, un tam nav iespējams piemērot Komisijas regulas Nr. 651/2014 53. panta nosacījumus, atbalsta saņēmējam ir pienākums atmaksāt atbalsta sniedzējam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22-TA-2952</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22-TA-2952</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noteikumu_(grozījumu)_projekts_22-TA-2952.docx</dc:title>
</cp:coreProperties>
</file>

<file path=docProps/custom.xml><?xml version="1.0" encoding="utf-8"?>
<Properties xmlns="http://schemas.openxmlformats.org/officeDocument/2006/custom-properties" xmlns:vt="http://schemas.openxmlformats.org/officeDocument/2006/docPropsVTypes"/>
</file>