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augustā (prot. Nr. 43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Sergeja Eizenšteina ielā, Rīgā, pirkšanu Biķernieku kompleksās sporta bāzes attīstības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 atļaut Satiksmes ministrijai pirkt nekustamo īpašumu (nekustamā īpašuma kadastra Nr. 0100 122 0281) – zemes vienību (zemes vienības kadastra apzīmējums 0100 122 0281) 3,2253 ha platībā – Sergeja Eizenšteina ielā, Rīgā, un nekustamo īpašumu (nekustamā īpašuma kadastra Nr. 0100 122 0329) – zemes vienību (zemes vienības kadastra apzīmējums 0100 122 0329) 14,5012 ha platībā – Sergeja Eizenšteina ielā, Rīgā, sporta objekta – Biķernieku kompleksās sporta bāzes – attīstības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nekustamo īpašumu pirkšanu un īpašuma tiesību nostiprināšanu zemesgrāmatā, segt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8 192 004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iegādei un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sagatavot un iesniegt Ministru kabinetā rīkojuma projektu par atšķirīgu dividendēs izmaksājamo peļņas daļu, paredzot, ka dividenžu maksājums valsts budžeta ieņēmumos 2022. gadā ir 80 % apmērā no valsts akciju sabiedrības "Ceļu satiksmes drošības direkcija" peļņas 2021. gadā, samaksājot uzņēmumu ienākuma nodokli atbilstoši normatīvajos aktos noteiktajai kārtībai.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22-TA-1723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22-TA-1723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