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 martā (prot. Nr. 11 55.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10. decembra noteikumos Nr. 807 "Emisijas kvotu izsolīšanas instrumenta finansēto projektu atklāta konkursa "Siltumnīcefekta gāzu emisiju samazināšana Iekšlietu ministrijas sistēmas iestāžu un pašvaldību policijas institūciju ēkās"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piesārņojumu" 32.² panta</w:t>
      </w:r>
      <w:r w:rsidR="00000000" w:rsidRPr="00000000" w:rsidDel="00000000">
        <w:rPr>
          <w:rStyle w:val="paragraph"/>
          <w:i w:val="1"/>
          <w:rtl w:val="0"/>
        </w:rPr>
        <w:t xml:space="preserve">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 un </w:t>
      </w:r>
      <w:r w:rsidR="00000000" w:rsidRPr="00000000" w:rsidDel="00000000">
        <w:rPr>
          <w:rStyle w:val="paragraph"/>
          <w:i w:val="1"/>
          <w:rtl w:val="0"/>
        </w:rPr>
        <w:t xml:space="preserve">Klimatnoturības un ekonomiskās ilgtspējas likuma 15. panta</w:t>
      </w:r>
      <w:r w:rsidR="00000000" w:rsidRPr="00000000" w:rsidDel="00000000">
        <w:rPr>
          <w:rStyle w:val="paragraph"/>
          <w:i w:val="1"/>
          <w:rtl w:val="0"/>
        </w:rPr>
        <w:t xml:space="preserve"> </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10. decembra noteikumos Nr. 807 "Emisijas kvotu izsolīšanas instrumenta finansēto projektu atklāta konkursa "Siltumnīcefekta gāzu emisiju samazināšana Iekšlietu ministrijas sistēmas iestāžu un pašvaldību policijas institūciju ēkās" nolikums" (Latvijas Vēstnesis, 2024, 243.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piesārņojumu" 32.² panta 4.</w:t>
      </w:r>
      <w:r w:rsidR="00000000" w:rsidRPr="00000000" w:rsidDel="00000000">
        <w:rPr>
          <w:vertAlign w:val="superscript"/>
          <w:rtl w:val="0"/>
        </w:rPr>
        <w:t xml:space="preserve">6</w:t>
      </w:r>
      <w:r w:rsidR="00000000" w:rsidRPr="00000000" w:rsidDel="00000000">
        <w:rPr>
          <w:rtl w:val="0"/>
        </w:rPr>
        <w:t xml:space="preserve"> daļu un Klimatnoturības un ekonomiskās ilgtspējas likuma 15.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projekta iesniegumā norādītais un pēc projekta pabeigšanas plānotais energoefektivitātes rādītājs apkurei – enerģijas patēriņš apkurei uz ēkas aprēķina platību – nepārsniedz 65 kWh/m</w:t>
      </w:r>
      <w:r w:rsidR="00000000" w:rsidRPr="00000000" w:rsidDel="00000000">
        <w:rPr>
          <w:vertAlign w:val="superscript"/>
          <w:rtl w:val="0"/>
        </w:rPr>
        <w:t xml:space="preserve">2</w:t>
      </w:r>
      <w:r w:rsidR="00000000" w:rsidRPr="00000000" w:rsidDel="00000000">
        <w:rPr>
          <w:rtl w:val="0"/>
        </w:rPr>
        <w:t xml:space="preserve"> gadā, vienlaikus nodrošinot telpu mikroklimata atbilstību normatīvo aktu prasībām būvniecības, higiēnas un darba aizsardzības jomā. Ja ēkā, kurā tiek veiktas projekta aktivitātes, telpas vidējais augstums pārsniedz 3,5 metrus, enerģijas patēriņu apkurei uz ēkas aprēķina platību (kWh/m</w:t>
      </w:r>
      <w:r w:rsidR="00000000" w:rsidRPr="00000000" w:rsidDel="00000000">
        <w:rPr>
          <w:vertAlign w:val="superscript"/>
          <w:rtl w:val="0"/>
        </w:rPr>
        <w:t xml:space="preserve">2</w:t>
      </w:r>
      <w:r w:rsidR="00000000" w:rsidRPr="00000000" w:rsidDel="00000000">
        <w:rPr>
          <w:rtl w:val="0"/>
        </w:rPr>
        <w:t xml:space="preserve"> gadā) pārrēķina saskaņā ar šo noteikumu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8.2.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pēc konkursa ietvaros atbalstāmo aktivitāšu īstenošanas vismaz projekta dzīves cikla laikā vairāk nekā 30 % no ēkas platības tiks izmantots Iekšlietu ministrijas sistēmas iestāžu vai pašvaldības policijas institūciju funkciju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vismaz 80 % no gadā saražotās elektroenerģijas, īstenojot šo noteikumu 22.8. apakšpunktā minēto aktivitāti, un 100 % apmērā uzstādītā elektromobiļu uzlādes infrastruktūra, īstenojot šo noteikumu 22.12. apakšpunktā minēto aktivitāti, tiek izmantota pašpatēriņa vajadzībām, Vides investīciju fondam veicot šo nosacījumu uzraudzību projekta dzīves cikla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"15.6. ēkas un zemes īpašuma, turējuma vai valdījuma tiesības ir nostiprinātas vai līdz maksājuma pieprasījuma iesniegšanai Vides investīciju fondā tiks nostiprinātas zemesgrāmatā uz laiku, kas nav īsāks par pieciem gadiem pēc projekta īstenošanas beigu termiņa;".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projekta iesniedzējs par Iekšlietu ministrijas sistēmas iestāžu vai pašvaldību policijas institūciju īpašumā, valdījumā vai lietošanā esošo ēku pārbūvi vai atjaunošanu ir iesniedzis projekta iesniegumu konkursa pirmajā kārtā, izņemot gadījumu, ja Vides investīciju fonds ir pieņēmis lēmumu par projekta iesnieguma noraidīšanu atbilstoši šo noteikumu 3. pielikumā minētajiem administratīvās vērtēšanas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22.5.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zibensaizsardzības sistēmas izbūves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22.18.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"22.18. izmaksas, kas saistītas ar būvniecības tehniskās dokumentācijas sagatavošanu, tostarp būves tehniskās apsekošanas atzinuma sagatavošanu;".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Konkursa ietvaros kā attiecināmās izmaksas ir būvdarbu izmaksas ēkas iekštelpās, ja tās nepārsniedz 15 % no šo noteikumu 22.1., 22.2., 22.3., 22.4., 22.5., 22.5.</w:t>
      </w:r>
      <w:r w:rsidR="00000000" w:rsidRPr="00000000" w:rsidDel="00000000">
        <w:rPr>
          <w:vertAlign w:val="superscript"/>
          <w:rtl w:val="0"/>
        </w:rPr>
        <w:t xml:space="preserve">1</w:t>
      </w:r>
      <w:r w:rsidR="00000000" w:rsidRPr="00000000" w:rsidDel="00000000">
        <w:rPr>
          <w:rtl w:val="0"/>
        </w:rPr>
        <w:t xml:space="preserve">, 22.6. un 22.7. apakšpunktā minēto attiecināmo izmaksu kopsummas."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Konkursa ietvaros šo noteikumu 22.13., 22.14., 22.15., 22.16., 22.17. un 22.18. apakšpunktā minētās izmaksas nepārsniedz 10 % no kopējām attiecināmajām izmaksām, ja projekta kopējo izmaksu summa ir līdz 500 000 (ieskaitot) </w:t>
      </w:r>
      <w:r w:rsidR="00000000" w:rsidRPr="00000000" w:rsidDel="00000000">
        <w:rPr>
          <w:i w:val="1"/>
          <w:rtl w:val="0"/>
        </w:rPr>
        <w:t xml:space="preserve">euro</w:t>
      </w:r>
      <w:r w:rsidR="00000000" w:rsidRPr="00000000" w:rsidDel="00000000">
        <w:rPr>
          <w:rtl w:val="0"/>
        </w:rPr>
        <w:t xml:space="preserve"> ar pievienotās vērtības nodokli, neieskaitot finanšu rezervi, vai nepārsniedz 7 % no kopējām attiecināmajām izmaksām, ja projekta kopējo izmaksu summa pārsniedz 500 000 </w:t>
      </w:r>
      <w:r w:rsidR="00000000" w:rsidRPr="00000000" w:rsidDel="00000000">
        <w:rPr>
          <w:i w:val="1"/>
          <w:rtl w:val="0"/>
        </w:rPr>
        <w:t xml:space="preserve">euro </w:t>
      </w:r>
      <w:r w:rsidR="00000000" w:rsidRPr="00000000" w:rsidDel="00000000">
        <w:rPr>
          <w:rtl w:val="0"/>
        </w:rPr>
        <w:t xml:space="preserve">ar pievienotās vērtības nodokli, neieskaitot finanšu rezervi,".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 konkursa pirmās kārtas ietvaros ir veiktas pēc šo noteikumu stāšanās spēkā, taču ne vēlāk kā līdz projekta īstenošanas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27.3.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vertAlign w:val="superscript"/>
          <w:rtl w:val="0"/>
        </w:rPr>
        <w:t xml:space="preserve">1</w:t>
      </w:r>
      <w:r w:rsidR="00000000" w:rsidRPr="00000000" w:rsidDel="00000000">
        <w:rPr>
          <w:rtl w:val="0"/>
        </w:rPr>
        <w:t xml:space="preserve"> konkursa otrās un turpmāko kārtu ietvaros ir veiktas pēc konkursa izsludināšanas, bet ne vēlāk kā līdz projekta īstenošanas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Ja konkursa ietvaros pieprasītais finanšu instrumenta finansējums ir mazāks nekā šo noteikumu 5. punktā minētais, konkursa otro un turpmākās kārtas izsludina ne agrāk kā sešus mēnešus pēc iepriekšējās konkursa kārtas izsludināšanas."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Projektu iesniegumu iesniegšanas termiņš ir vismaz četri mēneši pēc konkursa izsludināšanas."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Ja šo noteikumu 47. punktā minēto iemeslu dēļ projekta līgums ar projekta iesniedzēju netiek noslēgts, Vides investīciju fonds slēdz projekta līgumu ar to projekta iesniedzēju, kura projekta iesniegums ir ieguvis nākamo augstāko punktu skaitu atbilstoši kvalitātes vērtēšanas kritērijiem, ja finanšu instrumenta finansējuma atlikums ir pilnībā vai daļēji pietiekams šā projekta finansēšanai atbilstoši šo noteikumu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49.9.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"49.9. projekta dzīves cikla laika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Vides investīciju fonds nodrošina projektu uzraudzību to dzīves cikla laikā, kontrolējot, lai konkursa ietvaros īstenotie projekti saglabā savu nesaimniecisko raksturu, kā arī to atbilstību šo noteikumu 15.3. apakšpunktā noteiktajam. Ja Vides investīciju fonds konstatē, ka ar saimniecisko darbību nesaistīts projekts tā īstenošanas gaitā vai projekta dzīves cikla laikā kļūst par projektu, kas saistīts ar saimniecisko darbību, tai skaitā neatbilst šo noteikumu 15.3. apakšpunktā minētajiem nosacījumiem, finansējuma saņēmējam ir pienākums atmaksāt ministrijai uz Vides investīciju fonda vēstulē norādīto kontu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noteikumu_(grozījumu)_projekts_25-TA-1802.docx</dc:title>
</cp:coreProperties>
</file>

<file path=docProps/custom.xml><?xml version="1.0" encoding="utf-8"?>
<Properties xmlns="http://schemas.openxmlformats.org/officeDocument/2006/custom-properties" xmlns:vt="http://schemas.openxmlformats.org/officeDocument/2006/docPropsVTypes"/>
</file>