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23-TA-2775</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10.10.2023.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142.1.9/6-64-14/23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grozījumiem būvniecības normatīvajā regulējumā un aizsardzības un iekšlietu resora iepirkumu speciālistu atalgojumā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kabinetā saņemta Saeimas Aizsardzības, iekšlietu un korupcijas novēršanas komisijas 2023. gada 10. oktobra vēstule Nr. 142.1.9/6-64-14/23 "Par Valsts aizsardzības militāro objektu un iepirkumu centra (VAMOIC) darbības aktualitātēm, izaicinājumiem, identificētās problēmas funkciju veikšanā un iespējamiem risinājumiem".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Izskatot vēstulē minēto informāciju un sniegtos priekšlikumus, informējam, ka Ekonomikas ministrija gatavo nepieciešamos grozījumus Būvniecības likumā, kas nodrošinās valsts aizsardzībai un drošībai nepieciešamo infrastruktūras objektu operatīvāku būvniecību un savlaicīgu ekspluatāciju.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Savukārt saistībā ar identificētajām problēmām, kas attiecas uz atlīdzību, informējam, ka valsts un pašvaldību institūciju amatpersonām un darbiniekiem atlīdzība tiek noteikta saskaņā ar Valsts un pašvaldību institūciju amatpersonu un darbinieku atlīdzības likumu (turpmāk – Atlīdzības likums). Atlīdzības likums paredz, ka valsts un pašvaldību institūciju amatpersonām un darbiniekiem atlīdzības noteikšanā tiek ievēroti līdzvērtīgi nosacījumi.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atlīdzības reformas ieviešanu 2022. gadā tika pārskatīta un paaugstināta mēnešalgu skala. Katru gadu mēnešalgas tiek arī indeksētas, mainoties bāzes mēnešalgai. Mēnešalgu skalā minētā viduspunkta mēnešalga ir noteikta kā mērķa alga valsts pārvaldē, kas paredzēta 80 % apmērā no līdzīgas vērtības algas privātajā sektorā. Minētais nozīmē, ka, veidojot iestādē darba samaksas sistēmu, iestādes vadītājam ir iespējams variēt ar konkrētās mēnešalgas apmēru noteiktās mēnešalgu skalas mēnešalgu grupas intervāla ietvaros (piemērojot to no minimālā līdz pat maksimālajam).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Atlīdzības likumam amatpersonām un darbiniekiem atlīdzība tiek noteikta, primāri amatus klasificējot saskaņā ar Ministru kabineta 2022. gada 26. aprīļa noteikumiem Nr. 262 "Valsts un pašvaldību institūciju amatu katalogs, amatu klasifikācijas un amata apraksta izstrādāšanas kārtība" (turpmāk – Amatu katalogs).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Pilnveidojot Amatu katalogu, tika ņemti vērā institūciju izteiktie iebildumi un priekšlikumi attiecībā uz 2. saimi "Apgāde (iepirkumi)", precizējot amatu saimes līmeņu aprakstos ietvertos pamatpienākumus, pārskatot un paaugstinot attiecīgās mēnešalgu grupas. Tādējādi jaunajā Amatu katalogā, salīdzinot ar iepriekšējo, visos 2. saimes līmeņos, izņemot pirmo, ir paaugstinātas mēnešalgu grupas (par vienu līdz divām mēnešalgu grupām), pārsniedzot līdzīgas vērtības algas privātajā sektorā.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Ievērojot minēto, šobrīd 2. saimē "Apgāde (iepirkumi)" visos līmeņos klasificētajiem amatiem tiek nodrošināts līdzvērtīgs regulējums attiecībā uz konkurētspējīgas atlīdzības nodrošināšanu valsts pārvaldē.</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vēršam uzmanību uz to, ka Amatu kataloga 30. punktā ir noteikts, ka, klasificējot tāda vadošā eksperta amatu, kam ir unikāla kompetence specifiskā vai šauri specializētā institūcijas atbildības jomā, to var pielīdzināt attiecīgā līmeņa struktūrvienības vadītāja amatam. Šādi pielīdzinātu amatu skaits nedrīkst pārsniegt 5 % no institūcijas amata vietu kopskaita. Institūcijā, kurā ir mazāk par 20 amata vietām, var būt viens šāds amats.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iepriekš minēto, informējam, ka Aizsardzības ministrija šobrīd pārskata nodrošinājuma speciālistu funkcijas, uzdevumus un atalgojuma sistēmu, lai tā atbilstu Valsts kancelejas izstrādātajai atlīdzības politikai, un nepieciešamības gadījumā sagatavos informatīvo ziņojumu par atlīdzības sadaļas palielināšanu Valsts aizsardzības militāro objektu un iepirkumu centram, to pārdalot aizsardzības resora ietvaros no uzturēšanas izdevumiem uz atlīdzību. Atalgojuma pieaugums tiks segts aizsardzības resoram piešķirto valsts budžeta līdzekļu ietvaros, un papildu finanšu resursi netiks prasīti.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ministrijas ieskatā, nepieciešams stiprināt kapacitāti arī iepirkumu jomā, motivējot iepirkumu speciālistus, īpaši, ja tiek veikti valsts drošībai būtiski iepirkumi. Iepirkumu veicējiem iekšlietu resorā atlīdzības palielināšanai būtu nepieciešams papildu finansējums. Jautājums par papildus nepieciešamo finansējumu var tikt risināts, Iekšlietu ministrijai iekšēji pārskatot savus izdevumus un veicot iekšējas resursu pārdales vai arī Iekšlietu ministrijai virzot attiecīgu prioritārā pasākuma pieteikumu likumprojekta "Par valsts budžetu 2025. gadam un vidēja termiņa ietvaru 2025., 2026. un 2027. gadam" sagatavošanas procesā izskatīšanai kopā ar visu ministriju un citu centrālo valsts iestāžu prioritāro pasākumu pieteikumiem, ņemot vērā valsts budžeta iespējas.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Pateicamies Saeimas Aizsardzības, iekšlietu un korupcijas novēršanas komisijai par līdzšinējo ieguldījumu aizsardzības un iekšlietu nozares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23-TA-2775</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23-TA-2775</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mk_vēstules_projekts_23-TA-2775.docx</dc:title>
</cp:coreProperties>
</file>

<file path=docProps/custom.xml><?xml version="1.0" encoding="utf-8"?>
<Properties xmlns="http://schemas.openxmlformats.org/officeDocument/2006/custom-properties" xmlns:vt="http://schemas.openxmlformats.org/officeDocument/2006/docPropsVTypes"/>
</file>