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Arvils Ašeradens, Minister for Finance, is authorized to sign the Convention between the Government of the Republic of Latvia and the Government of the Principality of Liechtenstein for the Elimination of Double Taxation with respect to Taxes on Income and on Capital and the Prevention of Tax Evasion and Avoidance and its Protocol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25-TA-1189</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25-TA-1189</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pilnvarojums_svešvalodā_(tulkojums)_25-TA-1189.docx</dc:title>
</cp:coreProperties>
</file>

<file path=docProps/custom.xml><?xml version="1.0" encoding="utf-8"?>
<Properties xmlns="http://schemas.openxmlformats.org/officeDocument/2006/custom-properties" xmlns:vt="http://schemas.openxmlformats.org/officeDocument/2006/docPropsVTypes"/>
</file>