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aizsardzības finansēšanas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aizsardzības finansēšanas likumā (Latvijas Vēstnesis, 2014, 133. nr.; 2022, 78.A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2.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ievaddaļā skaitļus un vārdus "2025. gadā ne mazāku kā 2,5 procentus no prognozētā iekšzemes kopprodukta apjoma, sagatavo vidēja termiņa budžeta ietvara likuma projektus un gadskārtējā valsts budžeta likuma projektus" ar skaitļiem un vārdiem "2027. gadā ne mazāku kā 3 procentus no attiecīgajam gadam prognozētā iekšzemes kopprodukta apjoma, sagatavo likumprojektus par valsts budžetu kārtējam gadam un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punktā vārdus "un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10. un 11.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2026. gadā – ne mazāku kā 2,75 procentus no attiecīgajam gadam prognozētā iekšzemes kopprodukta apjoma;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2027. gadā un turpmākajos gados – ne mazāku kā 3 procentus no attiecīgajam gadam prognozētā iekšzemes kopprodukta apjoma."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23-TA-1095</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23-TA-1095</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likumprojekts_(grozījumi)_23-TA-1095.docx</dc:title>
</cp:coreProperties>
</file>

<file path=docProps/custom.xml><?xml version="1.0" encoding="utf-8"?>
<Properties xmlns="http://schemas.openxmlformats.org/officeDocument/2006/custom-properties" xmlns:vt="http://schemas.openxmlformats.org/officeDocument/2006/docPropsVTypes"/>
</file>