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un telpu grupas labiekārtojumi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(līdz attiecīgās programmatūras ieviešanai, bet ne ilgāk kā līdz 2025. gada 1. janvārim)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 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kvartāla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atklāta ūdensavota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ugunsdzēsības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iekšējā ugunsdzēsības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Vājstrāvas tīkls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radiotranslācija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ugunsaizsardzības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aizsargsignalizācijas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ārkārtējo apstākļu apziņošanas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Ugunsnoturības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energoefektivitāte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enerģijas patēriņš (MWh 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īpatnējais enerģijas patēriņš (kWh/m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noteikumu_konsolidētā_versija_p9_24-TA-545.docx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