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tiesu ekspertīžu institūta reformas gaitu un turpmāk veicamajiem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tiesu ekspertīžu institūta reformas gaitu un turpmāk veicamajiem pasākumiem" (turpmāk – konceptuālais ziņojums) ietverto risinājumu reformas pārejas perioda regulējumam, nosakot, ka reformai pakļautajiem nodarbinātajiem, kuriem ir tiesības uz izdienas pensiju, šīs tiesības saglabājamas, nenosakot pārejas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konceptuālajā ziņojumā ietverto risinājumu attiecībā uz sociālo garantiju apjomu, nosakot, ka tiesu ekspertiem, kuri pakļauti tiesu ekspertīžu institūta reformai, saglabājams līdzšinējais sociālo garantiju apjoms.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sadarbībā ar Iekšlietu ministriju sagatavot un tieslietu ministram līdz 2025. gada 1. martam iesniegt noteiktā kārtībā Ministru kabinetā likumprojektu par grozījumiem likumā "Par izdienas pensijām Iekšlietu ministrijas sistēmas darbiniekiem ar speciālajām dienesta pakāpēm" un likumprojektu par grozījumiem Valsts un pašvaldību institūciju amatpersonu un darbinieku atlīdzības likumā šā rīkojuma 1. un 2. punktā minētā risinājuma ieviešanai.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ministram līdz 2025. gada 1. jūnijam iesniegt Ministru kabinetā ziņojumu par konceptuālā ziņojuma 1. pielikumā ietverto pasākumu izpildes gaitu. Konceptuālā ziņojuma 1. pielikumā ietvertie pasākumi 2024. un 2025. gadā ir īstenojami atbildīgajām institūcijām piešķirto līdzekļu ietvaros. Pieņemt zināšanai, ka finanšu aprēķini par konceptuālā ziņojuma 1. pielikumā ietverto, 2026. gadā īstenojamo pasākumu ietekmi uz valsts budžetu tiks veikti līdz 2025. gada 1. jūnijam. Tieslietu ministrijai normatīvajos aktos noteiktajā kārtībā virzīt atbilstošu prioritārā pasākuma pieteikumu izskatīšanai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Pagarināt reformas īstenošanas termiņu līdz 2027.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23-TA-1865</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23-TA-1865</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rīkojuma_projekts_23-TA-1865.docx</dc:title>
</cp:coreProperties>
</file>

<file path=docProps/custom.xml><?xml version="1.0" encoding="utf-8"?>
<Properties xmlns="http://schemas.openxmlformats.org/officeDocument/2006/custom-properties" xmlns:vt="http://schemas.openxmlformats.org/officeDocument/2006/docPropsVTypes"/>
</file>