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451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</w:t>
      </w:r>
      <w:fldSimple w:instr=" MERGEFIELD =TAP_RIK_DATUMS_LOK * MERGEFORMAT ">
        <w:r>
          <w:rPr>
            <w:noProof/>
          </w:rPr>
          <w:t>&lt;&lt;=TAP_RIK_DATUMS_LOK&gt;&gt;</w:t>
        </w:r>
      </w:fldSimple>
      <w:r w:rsidR="00000000" w:rsidRPr="00000000" w:rsidDel="00000000">
        <w:rPr>
          <w:rtl w:val="0"/>
        </w:rPr>
        <w:t xml:space="preserve"> (prot. Nr. 40 9.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2024. gada 24. septembra rīkojumā Nr. 776 "Par iekārtu sarakstu emisijas kvotu sadalei 2026.–2030. gadam"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2024. gada 24. septembra rīkojumā Nr. 776 "Par iekārtu sarakstu emisijas kvotu sadalei 2026.–2030. gadam" (Latvijas Vēstnesis, 2024, 187.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 Saskaņā ar likuma "Par piesārņojumu" 32.</w:t>
      </w:r>
      <w:r w:rsidR="00000000" w:rsidRPr="00000000" w:rsidDel="00000000">
        <w:rPr>
          <w:vertAlign w:val="superscript"/>
          <w:rtl w:val="0"/>
        </w:rPr>
        <w:t xml:space="preserve">24</w:t>
      </w:r>
      <w:r w:rsidR="00000000" w:rsidRPr="00000000" w:rsidDel="00000000">
        <w:rPr>
          <w:rtl w:val="0"/>
        </w:rPr>
        <w:t xml:space="preserve"> panta pirmo daļu apstiprināt iekārtu sarakstu emisijas kvotu sadalei 2026.–2030. gadam (turpmāk – iekārtu saraksts) (pielikums)."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Kulbergs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Klimata un enerģētikas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J. Vitenbergs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26-TA-1598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26-TA-1598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rīkojuma_(grozījumu)_projekts_26-TA-1598.docx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